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qjvd9bb8cofayyq6fn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мая 2014 года № 250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ноября 2013 года № 593</w:t>
      </w:r>
    </w:p>
    <w:p>
      <w:pPr>
        <w:spacing w:after="120"/>
        <w:jc w:val="both"/>
      </w:pPr>
      <w:r>
        <w:rPr>
          <w:rFonts w:ascii="Arial" w:cs="Arial" w:eastAsia="Arial" w:hAnsi="Arial"/>
          <w:sz w:val="24"/>
          <w:szCs w:val="24"/>
        </w:rPr>
        <w:t xml:space="preserve">О готовности отраслей экономики и населения Кыргызской Республики к</w:t>
      </w:r>
    </w:p>
    <w:p>
      <w:pPr>
        <w:spacing w:after="120"/>
        <w:jc w:val="both"/>
      </w:pPr>
      <w:r>
        <w:rPr>
          <w:rFonts w:ascii="Arial" w:cs="Arial" w:eastAsia="Arial" w:hAnsi="Arial"/>
          <w:sz w:val="24"/>
          <w:szCs w:val="24"/>
        </w:rPr>
        <w:t xml:space="preserve">осенне-зимнему периоду 2013/2014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надлежащей подготовки отраслей экономики и населения Кыргызской Республики к осенне-зимнему периоду 2013/2014 года, принимая во внимание ситуацию с накоплением воды в Токтогульском водохранилище,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доклад министра энергетики и промышленности Кыргызской Республики о готовности отраслей экономики и населения Кыргызской Республики к прохождению отопительного периода 2013/2014 года и ситуации с накоплением воды в Токтогульском водохранилище.</w:t>
      </w:r>
    </w:p>
    <w:p>
      <w:pPr>
        <w:spacing w:after="120"/>
        <w:jc w:val="both"/>
      </w:pPr>
      <w:r>
        <w:rPr>
          <w:rFonts w:ascii="Arial" w:cs="Arial" w:eastAsia="Arial" w:hAnsi="Arial"/>
          <w:sz w:val="24"/>
          <w:szCs w:val="24"/>
        </w:rPr>
        <w:t xml:space="preserve">2. Отметить отставание от утвержденных заданий по заготовке угля Государственной службой исполнения наказаний при Правительстве Кыргызской Республики и Государственным предприятием "Кыргызжилкоммунсоюз"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3.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в срок до 15 ноября 2013 года провести ревизию выданных энергокомпаниями технических условий на строительство многоэтажных жилых домов и зданий в течение 2012-2013 годов;</w:t>
      </w:r>
    </w:p>
    <w:p>
      <w:pPr>
        <w:spacing w:after="120"/>
        <w:jc w:val="both"/>
      </w:pPr>
      <w:r>
        <w:rPr>
          <w:rFonts w:ascii="Arial" w:cs="Arial" w:eastAsia="Arial" w:hAnsi="Arial"/>
          <w:sz w:val="24"/>
          <w:szCs w:val="24"/>
        </w:rPr>
        <w:t xml:space="preserve">- совместно с Государственной инспекцией по экологической и технической безопасности при Правительстве Кыргызской Республики проверить потребляемую мощность на соответствие ранее выданным техническим условиям и по результатам принять соответствующие меры.</w:t>
      </w:r>
    </w:p>
    <w:p>
      <w:pPr>
        <w:spacing w:after="120"/>
        <w:jc w:val="both"/>
      </w:pPr>
      <w:r>
        <w:rPr>
          <w:rFonts w:ascii="Arial" w:cs="Arial" w:eastAsia="Arial" w:hAnsi="Arial"/>
          <w:sz w:val="24"/>
          <w:szCs w:val="24"/>
        </w:rPr>
        <w:t xml:space="preserve">4. Министерству финансов Кыргызской Республики обеспечить выделение Государственному предприятию "Кыргызжилкоммунсоюз" при Министерстве энергетики и промышленности Кыргызской Республики финансовых средств в сумме 300000000 (триста миллионов) сомов и бюджетной ссуды в размере 100000000 (сто миллионов) сомов.</w:t>
      </w:r>
    </w:p>
    <w:p>
      <w:pPr>
        <w:spacing w:after="120"/>
        <w:jc w:val="both"/>
      </w:pPr>
      <w:r>
        <w:rPr>
          <w:rFonts w:ascii="Arial" w:cs="Arial" w:eastAsia="Arial" w:hAnsi="Arial"/>
          <w:sz w:val="24"/>
          <w:szCs w:val="24"/>
        </w:rPr>
        <w:t xml:space="preserve">5. Государственному агентству антимонопольного регулирования при Правительстве Кыргызской Республики на постоянной основе в течение отопительного периода осуществлять мониторинг розничных цен на уголь импортного и отечественного производства на внутреннем рынке республики.</w:t>
      </w:r>
    </w:p>
    <w:p>
      <w:pPr>
        <w:spacing w:after="120"/>
        <w:jc w:val="both"/>
      </w:pPr>
      <w:r>
        <w:rPr>
          <w:rFonts w:ascii="Arial" w:cs="Arial" w:eastAsia="Arial" w:hAnsi="Arial"/>
          <w:sz w:val="24"/>
          <w:szCs w:val="24"/>
        </w:rPr>
        <w:t xml:space="preserve">6. Государственной инспекции по экологической и технической безопасности при Правительстве Кыргызской Республики совместно с Министерством финансов Кыргызской Республики осуществлять на постоянной основе контроль за недопущением превышения бюджетными организациями лимита потребления электрической энергии, утвержденного </w:t>
      </w:r>
      <w:hyperlink w:history="1" r:id="rIdg065oz1srgnv69c3apu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лимита потребления электрической, тепловой энергии, природного газа, воды и стоков для бюджетных организаций Кыргызской Республики на 2013-2014 годы" от 27 мая 2013 года № 289.</w:t>
      </w:r>
    </w:p>
    <w:p>
      <w:pPr>
        <w:spacing w:after="120"/>
        <w:jc w:val="both"/>
      </w:pPr>
      <w:r>
        <w:rPr>
          <w:rFonts w:ascii="Arial" w:cs="Arial" w:eastAsia="Arial" w:hAnsi="Arial"/>
          <w:sz w:val="24"/>
          <w:szCs w:val="24"/>
        </w:rPr>
        <w:t xml:space="preserve">7. Аппаратам полномочных представителей Правительства Кыргызской Республики в областях, органам местного самоуправления городов Бишкек и Ош (по согласованию) совместно с энергетическими компаниями принять меры по сокращению потерь электроэнергии и снижению дебиторской задолженности за потребленную электроэнергию.</w:t>
      </w:r>
    </w:p>
    <w:p>
      <w:pPr>
        <w:spacing w:after="120"/>
        <w:jc w:val="both"/>
      </w:pPr>
      <w:r>
        <w:rPr>
          <w:rFonts w:ascii="Arial" w:cs="Arial" w:eastAsia="Arial" w:hAnsi="Arial"/>
          <w:sz w:val="24"/>
          <w:szCs w:val="24"/>
        </w:rPr>
        <w:t xml:space="preserve">8. Рекомендовать открытому акционерному обществу "Кыргызнефтегаз", в целях бесперебойного обеспечения топочным мазутом ТЭЦ городов Бишкек и Ош, открытого акционерного общества "Электрические станции" и котельных государственного предприятия "Кыргызжилкоммунсоюз" в осенне-зимний период 2013/2014 года, обеспечить поставку мазута согласно заключенным договорам.</w:t>
      </w:r>
    </w:p>
    <w:p>
      <w:pPr>
        <w:spacing w:after="120"/>
        <w:jc w:val="both"/>
      </w:pPr>
      <w:r>
        <w:rPr>
          <w:rFonts w:ascii="Arial" w:cs="Arial" w:eastAsia="Arial" w:hAnsi="Arial"/>
          <w:sz w:val="24"/>
          <w:szCs w:val="24"/>
        </w:rPr>
        <w:t xml:space="preserve">9. Рекомендовать открытому акционерному обществу "Электрические станции" обеспечить дополнительно к заданию, утвержденному </w:t>
      </w:r>
      <w:hyperlink w:history="1" r:id="rIdgnkwklqt2sbjh_ovrq19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2013/2014 года" от 7 июня 2013 года № 316, заготовку таш-кумырского угля для ТЭЦ города Бишкек в объеме 50,0 тыс. тонн.</w:t>
      </w:r>
    </w:p>
    <w:p>
      <w:pPr>
        <w:spacing w:after="120"/>
        <w:jc w:val="both"/>
      </w:pPr>
      <w:r>
        <w:rPr>
          <w:rFonts w:ascii="Arial" w:cs="Arial" w:eastAsia="Arial" w:hAnsi="Arial"/>
          <w:sz w:val="24"/>
          <w:szCs w:val="24"/>
        </w:rPr>
        <w:t xml:space="preserve">10. Рекомендовать открытым акционерным обществам "Северэлектро", "Востокэлектро", "Ошэлектро" и "Жалалабатэлектро":</w:t>
      </w:r>
    </w:p>
    <w:p>
      <w:pPr>
        <w:spacing w:after="120"/>
        <w:jc w:val="both"/>
      </w:pPr>
      <w:r>
        <w:rPr>
          <w:rFonts w:ascii="Arial" w:cs="Arial" w:eastAsia="Arial" w:hAnsi="Arial"/>
          <w:sz w:val="24"/>
          <w:szCs w:val="24"/>
        </w:rPr>
        <w:t xml:space="preserve">- обеспечить по итогам работы в 2013 году выполнение планового уровня общих потерь электроэнергии;</w:t>
      </w:r>
    </w:p>
    <w:p>
      <w:pPr>
        <w:spacing w:after="120"/>
        <w:jc w:val="both"/>
      </w:pPr>
      <w:r>
        <w:rPr>
          <w:rFonts w:ascii="Arial" w:cs="Arial" w:eastAsia="Arial" w:hAnsi="Arial"/>
          <w:sz w:val="24"/>
          <w:szCs w:val="24"/>
        </w:rPr>
        <w:t xml:space="preserve">- проводить разъяснительную работу с потребителями электрической энергии в целях недопущения использования электрической энергии на цели отопления в часы максимальных нагрузок энергетической системы Кыргызской Республики.</w:t>
      </w:r>
    </w:p>
    <w:p>
      <w:pPr>
        <w:spacing w:after="120"/>
        <w:jc w:val="both"/>
      </w:pPr>
      <w:r>
        <w:rPr>
          <w:rFonts w:ascii="Arial" w:cs="Arial" w:eastAsia="Arial" w:hAnsi="Arial"/>
          <w:sz w:val="24"/>
          <w:szCs w:val="24"/>
        </w:rPr>
        <w:t xml:space="preserve">11. Внести в </w:t>
      </w:r>
      <w:hyperlink w:history="1" r:id="rIdo0jznchjjrja3g4kbhk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2013/2014 года" от 7 июня 2013 года № 316 следующие дополнения и изменения:</w:t>
      </w:r>
    </w:p>
    <w:p>
      <w:pPr>
        <w:spacing w:after="120"/>
        <w:jc w:val="both"/>
      </w:pPr>
      <w:r>
        <w:rPr>
          <w:rFonts w:ascii="Arial" w:cs="Arial" w:eastAsia="Arial" w:hAnsi="Arial"/>
          <w:sz w:val="24"/>
          <w:szCs w:val="24"/>
        </w:rPr>
        <w:t xml:space="preserve">- пункт 10:</w:t>
      </w:r>
    </w:p>
    <w:p>
      <w:pPr>
        <w:spacing w:after="120"/>
        <w:jc w:val="both"/>
      </w:pPr>
      <w:r>
        <w:rPr>
          <w:rFonts w:ascii="Arial" w:cs="Arial" w:eastAsia="Arial" w:hAnsi="Arial"/>
          <w:sz w:val="24"/>
          <w:szCs w:val="24"/>
        </w:rPr>
        <w:t xml:space="preserve">после слов "Фонду государственных материальных резервов при Правительстве Кыргызской Республики," дополнить словами "Социальному фонду Кыргызской Республики, Государственному фонду развития экономики при Министерстве финансов Кыргызской Республики, Государственному предприятию "Национальная компания "Кыргыз темир жолу" при Министерстве транспорта и коммуникаций Кыргызской Республики, производственно-эксплуатационному управлению "Бишкекводоканал" мэрии города Бишкек,";</w:t>
      </w:r>
    </w:p>
    <w:p>
      <w:pPr>
        <w:spacing w:after="120"/>
        <w:jc w:val="both"/>
      </w:pPr>
      <w:r>
        <w:rPr>
          <w:rFonts w:ascii="Arial" w:cs="Arial" w:eastAsia="Arial" w:hAnsi="Arial"/>
          <w:sz w:val="24"/>
          <w:szCs w:val="24"/>
        </w:rPr>
        <w:t xml:space="preserve">после слов "коммунального предприятия "Бишкектеплоэнерго" мэрии города Бишкек," дополнить словами "Ошского муниципального предприятия "Теплоснабжение" мэрии города Ош,";</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в абзаце первом слова "и "Кыргызгаз" заменить словами ", "Кыргызгаз" и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абзац второй после слов "отключать потребителей," дополнить словами "допустивших нарушения требований законодательства в области экологической и технической безопасности,";</w:t>
      </w:r>
    </w:p>
    <w:p>
      <w:pPr>
        <w:spacing w:after="120"/>
        <w:jc w:val="both"/>
      </w:pPr>
      <w:r>
        <w:rPr>
          <w:rFonts w:ascii="Arial" w:cs="Arial" w:eastAsia="Arial" w:hAnsi="Arial"/>
          <w:sz w:val="24"/>
          <w:szCs w:val="24"/>
        </w:rPr>
        <w:t xml:space="preserve">- по всему тексту </w:t>
      </w:r>
      <w:hyperlink w:history="1" r:id="rIdcxatwpj3rqj55xh0djqr-">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слова "Госэнергоинспекция" заменить аббревиатурой "ГИЭТБ";</w:t>
      </w:r>
    </w:p>
    <w:p>
      <w:pPr>
        <w:spacing w:after="120"/>
        <w:jc w:val="both"/>
      </w:pPr>
      <w:r>
        <w:rPr>
          <w:rFonts w:ascii="Arial" w:cs="Arial" w:eastAsia="Arial" w:hAnsi="Arial"/>
          <w:sz w:val="24"/>
          <w:szCs w:val="24"/>
        </w:rPr>
        <w:t xml:space="preserve">- приложения </w:t>
      </w:r>
      <w:hyperlink w:history="1" r:id="rIdfmeqgkjhs7lhms5rnmyf0">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l0q1ly39ktx0_dyhtzjf7">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4km6fdll_pgxq_h5jb3aj">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tfxvg1vl2wmx4fjrtofqe">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fdhc9qxuntritrpvlnp3n">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mse2pcgqcnt-a2_ni-eu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ejxydteckgxctnsedi25">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fj-dcnwveh9-pwiied2t7">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w:t>
      </w:r>
      <w:hyperlink w:history="1" r:id="rId9mwgmx--xvx6r8xjb5tno">
        <w:r>
          <w:rPr>
            <w:rFonts w:ascii="Arial" w:cs="Arial" w:eastAsia="Arial" w:hAnsi="Arial"/>
            <w:color w:val="1D4ED8"/>
            <w:sz w:val="24"/>
            <w:szCs w:val="24"/>
            <w:u w:val="single"/>
          </w:rPr>
          <w:t xml:space="preserve">23</w:t>
        </w:r>
      </w:hyperlink>
      <w:r>
        <w:rPr>
          <w:rFonts w:ascii="Arial" w:cs="Arial" w:eastAsia="Arial" w:hAnsi="Arial"/>
          <w:sz w:val="24"/>
          <w:szCs w:val="24"/>
        </w:rPr>
        <w:t xml:space="preserve"> изложить в редакции согласно приложениям </w:t>
      </w:r>
      <w:hyperlink w:history="1" r:id="rId4k1lwi_oppfssddmezcbi">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msjmu1ypuy7mkxr0z6gfd">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w:t>
      </w:r>
      <w:hyperlink w:history="1" r:id="rIddjdabw-q0u4ojigcpyxr8">
        <w:r>
          <w:rPr>
            <w:rFonts w:ascii="Arial" w:cs="Arial" w:eastAsia="Arial" w:hAnsi="Arial"/>
            <w:color w:val="1D4ED8"/>
            <w:sz w:val="24"/>
            <w:szCs w:val="24"/>
            <w:u w:val="single"/>
          </w:rPr>
          <w:t xml:space="preserve">приложении 16</w:t>
        </w:r>
      </w:hyperlink>
      <w:r>
        <w:rPr>
          <w:rFonts w:ascii="Arial" w:cs="Arial" w:eastAsia="Arial" w:hAnsi="Arial"/>
          <w:sz w:val="24"/>
          <w:szCs w:val="24"/>
        </w:rPr>
        <w:t xml:space="preserve"> строку "Объем воды на Токтогульском водохранилище, при приточности воды 79% от нормы (млрд. куб.м)"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7"/>
        <w:gridCol w:w="625"/>
        <w:gridCol w:w="529"/>
        <w:gridCol w:w="529"/>
        <w:gridCol w:w="625"/>
        <w:gridCol w:w="625"/>
        <w:gridCol w:w="625"/>
        <w:gridCol w:w="625"/>
        <w:gridCol w:w="529"/>
      </w:tblGrid>
      <w:tr>
        <w:tc>
          <w:tcPr>
            <w:tcW w:type="dxa" w:w="54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 гульском водохрани- лище (млрд. куб.м)</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ghe0y2pgofkzkn4d-ib1c">
        <w:r>
          <w:rPr>
            <w:rFonts w:ascii="Arial" w:cs="Arial" w:eastAsia="Arial" w:hAnsi="Arial"/>
            <w:color w:val="1D4ED8"/>
            <w:sz w:val="24"/>
            <w:szCs w:val="24"/>
            <w:u w:val="single"/>
          </w:rPr>
          <w:t xml:space="preserve">приложении 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3.3.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2447"/>
        <w:gridCol w:w="623"/>
        <w:gridCol w:w="1281"/>
        <w:gridCol w:w="1132"/>
        <w:gridCol w:w="1281"/>
        <w:gridCol w:w="1281"/>
        <w:gridCol w:w="1132"/>
        <w:gridCol w:w="314"/>
      </w:tblGrid>
      <w:tr>
        <w:tc>
          <w:tcPr>
            <w:tcW w:type="dxa" w:w="6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4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1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3689,84</w:t>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687,97</w:t>
            </w:r>
          </w:p>
        </w:tc>
        <w:tc>
          <w:tcPr>
            <w:tcW w:type="dxa" w:w="1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1195,20</w:t>
            </w:r>
          </w:p>
        </w:tc>
        <w:tc>
          <w:tcPr>
            <w:tcW w:type="dxa" w:w="1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1105,20</w:t>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701,47</w:t>
            </w:r>
          </w:p>
        </w:tc>
        <w:tc>
          <w:tcPr>
            <w:tcW w:type="dxa" w:w="3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3.6.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2706"/>
        <w:gridCol w:w="1280"/>
        <w:gridCol w:w="1164"/>
        <w:gridCol w:w="1030"/>
        <w:gridCol w:w="1030"/>
        <w:gridCol w:w="1030"/>
        <w:gridCol w:w="1030"/>
        <w:gridCol w:w="285"/>
      </w:tblGrid>
      <w:tr>
        <w:tc>
          <w:tcPr>
            <w:tcW w:type="dxa" w:w="6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225,282</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43,066</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64,049</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65,082</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58,085</w:t>
            </w:r>
          </w:p>
        </w:tc>
        <w:tc>
          <w:tcPr>
            <w:tcW w:type="dxa" w:w="2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w:t>
      </w:r>
      <w:hyperlink w:history="1" r:id="rIdzw8tpgtaoqxjtmeoojuqk">
        <w:r>
          <w:rPr>
            <w:rFonts w:ascii="Arial" w:cs="Arial" w:eastAsia="Arial" w:hAnsi="Arial"/>
            <w:color w:val="1D4ED8"/>
            <w:sz w:val="24"/>
            <w:szCs w:val="24"/>
            <w:u w:val="single"/>
          </w:rPr>
          <w:t xml:space="preserve">приложением 25</w:t>
        </w:r>
      </w:hyperlink>
      <w:r>
        <w:rPr>
          <w:rFonts w:ascii="Arial" w:cs="Arial" w:eastAsia="Arial" w:hAnsi="Arial"/>
          <w:sz w:val="24"/>
          <w:szCs w:val="24"/>
        </w:rPr>
        <w:t xml:space="preserve"> в редакции согласно </w:t>
      </w:r>
      <w:hyperlink w:history="1" r:id="rIdm6urdurw6qjys09jqsl6o">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12.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13.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w:t>
      </w:r>
      <w:r>
        <w:rPr>
          <w:rFonts w:ascii="Arial" w:cs="Arial" w:eastAsia="Arial" w:hAnsi="Arial"/>
          <w:sz w:val="24"/>
          <w:szCs w:val="24"/>
        </w:rPr>
        <w:t xml:space="preserve">
 к </w:t>
      </w:r>
      <w:hyperlink w:history="1" r:id="rIdw0oovgvhrsbqtncmhzl_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w:t>
      </w:r>
    </w:p>
    <w:p>
      <w:pPr>
        <w:spacing w:after="120"/>
        <w:jc w:val="both"/>
      </w:pPr>
      <w:r>
        <w:rPr>
          <w:rFonts w:ascii="Arial" w:cs="Arial" w:eastAsia="Arial" w:hAnsi="Arial"/>
          <w:sz w:val="24"/>
          <w:szCs w:val="24"/>
        </w:rPr>
        <w:t xml:space="preserve">осенне-зимнему периоду 2013/2014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
 к </w:t>
      </w:r>
      <w:hyperlink w:history="1" r:id="rIdry9ldxpl9rjwudsdshso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 осенне-зимнему</w:t>
      </w:r>
    </w:p>
    <w:p>
      <w:pPr>
        <w:spacing w:after="120"/>
        <w:jc w:val="both"/>
      </w:pPr>
      <w:r>
        <w:rPr>
          <w:rFonts w:ascii="Arial" w:cs="Arial" w:eastAsia="Arial" w:hAnsi="Arial"/>
          <w:sz w:val="24"/>
          <w:szCs w:val="24"/>
        </w:rPr>
        <w:t xml:space="preserve">периоду 2013/2014 года по Баткенской области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
 к </w:t>
      </w:r>
      <w:hyperlink w:history="1" r:id="rIdjrosjc3_riqekytaqwoy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w:t>
      </w:r>
    </w:p>
    <w:p>
      <w:pPr>
        <w:spacing w:after="120"/>
        <w:jc w:val="both"/>
      </w:pPr>
      <w:r>
        <w:rPr>
          <w:rFonts w:ascii="Arial" w:cs="Arial" w:eastAsia="Arial" w:hAnsi="Arial"/>
          <w:sz w:val="24"/>
          <w:szCs w:val="24"/>
        </w:rPr>
        <w:t xml:space="preserve">к осенне-зимнему периоду 2013/2014 года по Чуйской области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w:t>
      </w:r>
      <w:r>
        <w:rPr>
          <w:rFonts w:ascii="Arial" w:cs="Arial" w:eastAsia="Arial" w:hAnsi="Arial"/>
          <w:sz w:val="24"/>
          <w:szCs w:val="24"/>
        </w:rPr>
        <w:t xml:space="preserve">
 к </w:t>
      </w:r>
      <w:hyperlink w:history="1" r:id="rIdwbbjryf5efwwwf80zpjz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 осенне-зимнему</w:t>
      </w:r>
    </w:p>
    <w:p>
      <w:pPr>
        <w:spacing w:after="120"/>
        <w:jc w:val="both"/>
      </w:pPr>
      <w:r>
        <w:rPr>
          <w:rFonts w:ascii="Arial" w:cs="Arial" w:eastAsia="Arial" w:hAnsi="Arial"/>
          <w:sz w:val="24"/>
          <w:szCs w:val="24"/>
        </w:rPr>
        <w:t xml:space="preserve">периоду 2013/2014 года по Таласской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w:t>
      </w:r>
      <w:r>
        <w:rPr>
          <w:rFonts w:ascii="Arial" w:cs="Arial" w:eastAsia="Arial" w:hAnsi="Arial"/>
          <w:sz w:val="24"/>
          <w:szCs w:val="24"/>
        </w:rPr>
        <w:t xml:space="preserve">
 к </w:t>
      </w:r>
      <w:hyperlink w:history="1" r:id="rId1m_yl-e_-zl9v4l7eem6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 осенне-зимнему</w:t>
      </w:r>
    </w:p>
    <w:p>
      <w:pPr>
        <w:spacing w:after="120"/>
        <w:jc w:val="both"/>
      </w:pPr>
      <w:r>
        <w:rPr>
          <w:rFonts w:ascii="Arial" w:cs="Arial" w:eastAsia="Arial" w:hAnsi="Arial"/>
          <w:sz w:val="24"/>
          <w:szCs w:val="24"/>
        </w:rPr>
        <w:t xml:space="preserve"> периоду 2013/2014 года по городу Бишкек</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w:t>
      </w:r>
      <w:r>
        <w:rPr>
          <w:rFonts w:ascii="Arial" w:cs="Arial" w:eastAsia="Arial" w:hAnsi="Arial"/>
          <w:sz w:val="24"/>
          <w:szCs w:val="24"/>
        </w:rPr>
        <w:t xml:space="preserve">
 к </w:t>
      </w:r>
      <w:hyperlink w:history="1" r:id="rId5n8e6vbtiwh6eyug1y-l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w:t>
      </w:r>
    </w:p>
    <w:p>
      <w:pPr>
        <w:spacing w:after="120"/>
        <w:jc w:val="both"/>
      </w:pPr>
      <w:r>
        <w:rPr>
          <w:rFonts w:ascii="Arial" w:cs="Arial" w:eastAsia="Arial" w:hAnsi="Arial"/>
          <w:sz w:val="24"/>
          <w:szCs w:val="24"/>
        </w:rPr>
        <w:t xml:space="preserve">осенне-зимнему периоду 2013/2014 года по Кыргызской Республике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w:t>
      </w:r>
      <w:r>
        <w:rPr>
          <w:rFonts w:ascii="Arial" w:cs="Arial" w:eastAsia="Arial" w:hAnsi="Arial"/>
          <w:sz w:val="24"/>
          <w:szCs w:val="24"/>
        </w:rPr>
        <w:t xml:space="preserve">
 к </w:t>
      </w:r>
      <w:hyperlink w:history="1" r:id="rIdwc3ncoyccjgu-dbgk-vo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ЗАДАНИЕ 
 Министерству энергетики и промышленности Кыргызской Республики, ГП "Кыргызкомур", ОАО "Кыргызгаз", 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осенне-зимнему периоду 2013/2014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w:t>
      </w:r>
      <w:r>
        <w:rPr>
          <w:rFonts w:ascii="Arial" w:cs="Arial" w:eastAsia="Arial" w:hAnsi="Arial"/>
          <w:sz w:val="24"/>
          <w:szCs w:val="24"/>
        </w:rPr>
        <w:t xml:space="preserve">
 к </w:t>
      </w:r>
      <w:hyperlink w:history="1" r:id="rIdg2ymc-kdzx15uojnc5yp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ЗАДАНИЕ 
 ОАО "Северэлектро", ОАО "Востокэлектро", ОАО "Жалалабатэлектро", ОАО "Ошэлектро" по строительству и реконструкции BЛ 0,4-10 кВ, ТП 10/0,4 кВ в 2013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3619"/>
        <w:gridCol w:w="833"/>
        <w:gridCol w:w="645"/>
        <w:gridCol w:w="645"/>
        <w:gridCol w:w="645"/>
        <w:gridCol w:w="645"/>
        <w:gridCol w:w="645"/>
        <w:gridCol w:w="1983"/>
      </w:tblGrid>
      <w:tr>
        <w:tc>
          <w:tcPr>
            <w:tcW w:type="dxa" w:w="5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6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области</w:t>
            </w:r>
          </w:p>
        </w:tc>
        <w:tc>
          <w:tcPr>
            <w:tcW w:type="dxa" w:w="8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2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9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город Бишкек</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Иссык-Кульская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200,692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59,798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город Ош</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90,463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18,302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73,955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22,779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 МВА</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 (Шекафтар-Терек-Суу)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 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49984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 (Шекафтар-Терек-Суу)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781,464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141,077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190,66</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w:t>
      </w:r>
      <w:r>
        <w:rPr>
          <w:rFonts w:ascii="Arial" w:cs="Arial" w:eastAsia="Arial" w:hAnsi="Arial"/>
          <w:sz w:val="24"/>
          <w:szCs w:val="24"/>
        </w:rPr>
        <w:t xml:space="preserve">
 к </w:t>
      </w:r>
      <w:hyperlink w:history="1" r:id="rIdzysqpq_cl-uzixzkvdse0">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ЗАДАНИЕ 
 по заготовке топлива на отопительных котельных ГП "Кыргызжилкоммунсоюз", КП "Бишкектеплоэнерго"</w:t>
      </w:r>
    </w:p>
    <w:p>
      <w:pPr>
        <w:spacing w:after="120"/>
        <w:jc w:val="both"/>
      </w:pPr>
      <w:r>
        <w:rPr>
          <w:rFonts w:ascii="Arial" w:cs="Arial" w:eastAsia="Arial" w:hAnsi="Arial"/>
          <w:sz w:val="24"/>
          <w:szCs w:val="24"/>
        </w:rPr>
        <w:t xml:space="preserve"> и Ошское МП "Теплоснабжение" к осенне-зимнему периоду 2013/2014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w:t>
      </w:r>
      <w:r>
        <w:rPr>
          <w:rFonts w:ascii="Arial" w:cs="Arial" w:eastAsia="Arial" w:hAnsi="Arial"/>
          <w:sz w:val="24"/>
          <w:szCs w:val="24"/>
        </w:rPr>
        <w:t xml:space="preserve">
 к </w:t>
      </w:r>
      <w:hyperlink w:history="1" r:id="rIdzvdohlk_ss9ax2vayh2g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ПЕРЕЧЕНЬ 
 угледобывающих предприятий, закрепленных за областями и районами республики, и предлагаемая оптово-отпускная цена местных углей, без учета транспортных расходов по доставке, на топливные базы и пункты реализации угля для населения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262"/>
        <w:gridCol w:w="2186"/>
        <w:gridCol w:w="956"/>
        <w:gridCol w:w="956"/>
        <w:gridCol w:w="4387"/>
      </w:tblGrid>
      <w:tr>
        <w:tc>
          <w:tcPr>
            <w:tcW w:type="dxa" w:w="4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 п</w:t>
            </w:r>
          </w:p>
        </w:tc>
        <w:tc>
          <w:tcPr>
            <w:tcW w:type="dxa" w:w="1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Области/районы</w:t>
            </w:r>
          </w:p>
        </w:tc>
        <w:tc>
          <w:tcPr>
            <w:tcW w:type="dxa" w:w="21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баз и пунктов реализации</w:t>
            </w:r>
          </w:p>
        </w:tc>
        <w:tc>
          <w:tcPr>
            <w:tcW w:type="dxa" w:w="19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стоимость угля, сомов</w:t>
            </w:r>
          </w:p>
        </w:tc>
        <w:tc>
          <w:tcPr>
            <w:tcW w:type="dxa" w:w="43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Угольные предприятия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БПКО (сортовой)</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 (рядовой)</w:t>
            </w:r>
          </w:p>
        </w:tc>
        <w:tc>
          <w:tcPr>
            <w:vMerge w:val="continue"/>
            <w:tcBorders>
              <w:top w:val="single" w:color="CBBF9E" w:sz="4"/>
              <w:left w:val="none" w:color="auto" w:sz="0"/>
              <w:bottom w:val="single" w:color="CBBF9E" w:sz="4"/>
              <w:right w:val="single" w:color="CBBF9E" w:sz="4"/>
            </w:tcBorders>
          </w:tcP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"Нарынкомур"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Каракол</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Балыкчы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"АГК Тоо-Инвест",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"Ак-Жол Комур"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"Бузурманкул",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"АГК Too-Инвест",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"Жумгалсуукурулуш"</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Нарын</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"Пандж Шер",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"Разрез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Бузурманкул-Т"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Тоо Инвест"</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Свердловский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965</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"Бузурманкул",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Токмок</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"Юнайтедголкомпани"</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Тогуз-Торуский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Джалал-Абад</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Таш-Кумыр</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Майлуу-Суу</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БПКО</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 ОсОО "Алты-Айгыр"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АО "Кызыл-Киякомур"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"Жазы", ЧП "Курманбек"</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"Жазы", ОсОО "Кум-Бель"</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"Нур", АО "Сулюкташахтакурулуш", ОсОО "Марипов", ОсОО "Ак-Булак"</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"Эркин-Кен", ОсОО "Ибрагимов"</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ОсОО "Эркин-Кен"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Кызыл-Кия</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АО "Кызыл-Киякомур"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Сулюкта</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АООТ "Сулюктакомур", ОсОО "Сулюкташахтакурулуш"</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Баткен</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"Сулюкташахтакурулуш"</w:t>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qjvd9bb8cofayyq6fnrg" Type="http://schemas.openxmlformats.org/officeDocument/2006/relationships/hyperlink" Target="http://kodeks.duckdns.org/document/96479" TargetMode="External"/><Relationship Id="rIdg065oz1srgnv69c3apue9" Type="http://schemas.openxmlformats.org/officeDocument/2006/relationships/hyperlink" Target="http://kodeks.duckdns.org/document/94424" TargetMode="External"/><Relationship Id="rIdgnkwklqt2sbjh_ovrq196" Type="http://schemas.openxmlformats.org/officeDocument/2006/relationships/hyperlink" Target="http://kodeks.duckdns.org/document/94458" TargetMode="External"/><Relationship Id="rIdo0jznchjjrja3g4kbhkhw" Type="http://schemas.openxmlformats.org/officeDocument/2006/relationships/hyperlink" Target="http://kodeks.duckdns.org/document/94458" TargetMode="External"/><Relationship Id="rIdcxatwpj3rqj55xh0djqr-" Type="http://schemas.openxmlformats.org/officeDocument/2006/relationships/hyperlink" Target="http://kodeks.duckdns.org/document/94458#p3" TargetMode="External"/><Relationship Id="rIdfmeqgkjhs7lhms5rnmyf0" Type="http://schemas.openxmlformats.org/officeDocument/2006/relationships/hyperlink" Target="http://kodeks.duckdns.org/document/94458#p4" TargetMode="External"/><Relationship Id="rIdl0q1ly39ktx0_dyhtzjf7" Type="http://schemas.openxmlformats.org/officeDocument/2006/relationships/hyperlink" Target="http://kodeks.duckdns.org/document/94458#p7" TargetMode="External"/><Relationship Id="rId4km6fdll_pgxq_h5jb3aj" Type="http://schemas.openxmlformats.org/officeDocument/2006/relationships/hyperlink" Target="http://kodeks.duckdns.org/document/94458#p8" TargetMode="External"/><Relationship Id="rIdtfxvg1vl2wmx4fjrtofqe" Type="http://schemas.openxmlformats.org/officeDocument/2006/relationships/hyperlink" Target="http://kodeks.duckdns.org/document/94458#p9" TargetMode="External"/><Relationship Id="rIdfdhc9qxuntritrpvlnp3n" Type="http://schemas.openxmlformats.org/officeDocument/2006/relationships/hyperlink" Target="http://kodeks.duckdns.org/document/94458#p10" TargetMode="External"/><Relationship Id="rIdmse2pcgqcnt-a2_ni-eur" Type="http://schemas.openxmlformats.org/officeDocument/2006/relationships/hyperlink" Target="http://kodeks.duckdns.org/document/94458#p13" TargetMode="External"/><Relationship Id="rIdbejxydteckgxctnsedi25" Type="http://schemas.openxmlformats.org/officeDocument/2006/relationships/hyperlink" Target="http://kodeks.duckdns.org/document/94458#p14" TargetMode="External"/><Relationship Id="rIdfj-dcnwveh9-pwiied2t7" Type="http://schemas.openxmlformats.org/officeDocument/2006/relationships/hyperlink" Target="http://kodeks.duckdns.org/document/94458#p19" TargetMode="External"/><Relationship Id="rId9mwgmx--xvx6r8xjb5tno" Type="http://schemas.openxmlformats.org/officeDocument/2006/relationships/hyperlink" Target="http://kodeks.duckdns.org/document/94458#p23" TargetMode="External"/><Relationship Id="rId4k1lwi_oppfssddmezcbi" Type="http://schemas.openxmlformats.org/officeDocument/2006/relationships/hyperlink" Target="http://kodeks.duckdns.org/document/94458#p1" TargetMode="External"/><Relationship Id="rIdmsjmu1ypuy7mkxr0z6gfd" Type="http://schemas.openxmlformats.org/officeDocument/2006/relationships/hyperlink" Target="http://kodeks.duckdns.org/document/94458#p9" TargetMode="External"/><Relationship Id="rIddjdabw-q0u4ojigcpyxr8" Type="http://schemas.openxmlformats.org/officeDocument/2006/relationships/hyperlink" Target="http://kodeks.duckdns.org/document/94458#p16" TargetMode="External"/><Relationship Id="rIdghe0y2pgofkzkn4d-ib1c" Type="http://schemas.openxmlformats.org/officeDocument/2006/relationships/hyperlink" Target="http://kodeks.duckdns.org/document/94458#p18" TargetMode="External"/><Relationship Id="rIdzw8tpgtaoqxjtmeoojuqk" Type="http://schemas.openxmlformats.org/officeDocument/2006/relationships/hyperlink" Target="http://kodeks.duckdns.org/document/94458#p25" TargetMode="External"/><Relationship Id="rIdm6urdurw6qjys09jqsl6o" Type="http://schemas.openxmlformats.org/officeDocument/2006/relationships/hyperlink" Target="http://kodeks.duckdns.org/document/94974#p10" TargetMode="External"/><Relationship Id="rIdw0oovgvhrsbqtncmhzl_k" Type="http://schemas.openxmlformats.org/officeDocument/2006/relationships/hyperlink" Target="http://kodeks.duckdns.org/document/94974" TargetMode="External"/><Relationship Id="rIdry9ldxpl9rjwudsdshsox" Type="http://schemas.openxmlformats.org/officeDocument/2006/relationships/hyperlink" Target="http://kodeks.duckdns.org/document/94974" TargetMode="External"/><Relationship Id="rIdjrosjc3_riqekytaqwoyo" Type="http://schemas.openxmlformats.org/officeDocument/2006/relationships/hyperlink" Target="http://kodeks.duckdns.org/document/94974" TargetMode="External"/><Relationship Id="rIdwbbjryf5efwwwf80zpjz9" Type="http://schemas.openxmlformats.org/officeDocument/2006/relationships/hyperlink" Target="http://kodeks.duckdns.org/document/94974" TargetMode="External"/><Relationship Id="rId1m_yl-e_-zl9v4l7eem6c" Type="http://schemas.openxmlformats.org/officeDocument/2006/relationships/hyperlink" Target="http://kodeks.duckdns.org/document/94974" TargetMode="External"/><Relationship Id="rId5n8e6vbtiwh6eyug1y-l1" Type="http://schemas.openxmlformats.org/officeDocument/2006/relationships/hyperlink" Target="http://kodeks.duckdns.org/document/94974" TargetMode="External"/><Relationship Id="rIdwc3ncoyccjgu-dbgk-voy" Type="http://schemas.openxmlformats.org/officeDocument/2006/relationships/hyperlink" Target="http://kodeks.duckdns.org/document/94974" TargetMode="External"/><Relationship Id="rIdg2ymc-kdzx15uojnc5ypn" Type="http://schemas.openxmlformats.org/officeDocument/2006/relationships/hyperlink" Target="http://kodeks.duckdns.org/document/94974" TargetMode="External"/><Relationship Id="rIdzysqpq_cl-uzixzkvdse0" Type="http://schemas.openxmlformats.org/officeDocument/2006/relationships/hyperlink" Target="http://kodeks.duckdns.org/document/94974" TargetMode="External"/><Relationship Id="rIdzvdohlk_ss9ax2vayh2gz" Type="http://schemas.openxmlformats.org/officeDocument/2006/relationships/hyperlink" Target="http://kodeks.duckdns.org/document/94974" TargetMode="External"/><Relationship Id="rId7" Type="http://schemas.openxmlformats.org/officeDocument/2006/relationships/image" Target="media/93bec1c1538034512fe33c1434ae0ea86b639d33.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2026-09-23T08:24:42.849Z</dcterms:created>
  <dcterms:modified xsi:type="dcterms:W3CDTF">2026-09-23T08:24:42.849Z</dcterms:modified>
</cp:coreProperties>
</file>

<file path=docProps/custom.xml><?xml version="1.0" encoding="utf-8"?>
<Properties xmlns="http://schemas.openxmlformats.org/officeDocument/2006/custom-properties" xmlns:vt="http://schemas.openxmlformats.org/officeDocument/2006/docPropsVTypes"/>
</file>