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03aqsvnecdyrkls_1g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2011 года №363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начисления и выплаты второй страховой части пенсии (СП2) лицам, получающим льготную пенсию по списку № 2, за особые условия труда и работникам текстильных производств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пунктом 2 статьи 9 Закона Кыргызской Республики "</w:t>
      </w:r>
      <w:hyperlink w:history="1" r:id="rIda1gvtxqevnibcfo98bqxf">
        <w:r>
          <w:rPr>
            <w:rFonts w:ascii="Arial" w:cs="Arial" w:eastAsia="Arial" w:hAnsi="Arial"/>
            <w:color w:val="1D4ED8"/>
            <w:sz w:val="24"/>
            <w:szCs w:val="24"/>
            <w:u w:val="single"/>
          </w:rPr>
          <w:t xml:space="preserve">О государственном пенсионном социальном страховании</w:t>
        </w:r>
      </w:hyperlink>
      <w:r>
        <w:rPr>
          <w:rFonts w:ascii="Arial" w:cs="Arial" w:eastAsia="Arial" w:hAnsi="Arial"/>
          <w:sz w:val="24"/>
          <w:szCs w:val="24"/>
        </w:rPr>
        <w:t xml:space="preserve">" назначение и выплата льготных пенсий по Списку № 2 производств, работ, профессий, должностей и показателей, утвержденному постановлением Правительства Кыргызской Республики от 1 июля 1996 года № 298, работникам текстильных производств и за особые условия труда производятся работодателем до достижения работником общеустановленного пенсионного возраста.</w:t>
      </w:r>
    </w:p>
    <w:p>
      <w:pPr>
        <w:spacing w:after="120"/>
        <w:jc w:val="both"/>
      </w:pPr>
      <w:r>
        <w:rPr>
          <w:rFonts w:ascii="Arial" w:cs="Arial" w:eastAsia="Arial" w:hAnsi="Arial"/>
          <w:sz w:val="24"/>
          <w:szCs w:val="24"/>
        </w:rPr>
        <w:t xml:space="preserve">2. Размер пенсии исчисляется в соответствии со ст. 7, 22 Закона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3. Начисление и выплата базовой и первой страховой части пенсии (Б + СП1) производятся работодателем за счет средств работодателя.</w:t>
      </w:r>
    </w:p>
    <w:p>
      <w:pPr>
        <w:spacing w:after="120"/>
        <w:jc w:val="both"/>
      </w:pPr>
      <w:r>
        <w:rPr>
          <w:rFonts w:ascii="Arial" w:cs="Arial" w:eastAsia="Arial" w:hAnsi="Arial"/>
          <w:sz w:val="24"/>
          <w:szCs w:val="24"/>
        </w:rPr>
        <w:t xml:space="preserve">4. Начисление и выплата второй страховой части пенсии (СП2) производятся Социальным фондом Кыргызской Республики за счет средств социального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начисления и выплаты пенсии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Лица, имеющие право на льготную пенсию по возрасту по Списку № 2, за особые условия труда и за работу в текстильном производстве, обращаются за назначением пенсии в администрацию предприятия по месту выработки большей части страхового стажа, дающего право на льготное назначение пенсии.</w:t>
      </w:r>
    </w:p>
    <w:p>
      <w:pPr>
        <w:spacing w:after="120"/>
        <w:jc w:val="both"/>
      </w:pPr>
      <w:r>
        <w:rPr>
          <w:rFonts w:ascii="Arial" w:cs="Arial" w:eastAsia="Arial" w:hAnsi="Arial"/>
          <w:sz w:val="24"/>
          <w:szCs w:val="24"/>
        </w:rPr>
        <w:t xml:space="preserve">6. Администрация предприятия на основании предоставленных заявителем документов о страховом стаже и заработной плате назначает и выплачивает работнику базовую и первую страховую части пенсии (СП1) до достижения общеустановленного пенсионного возраста.</w:t>
      </w:r>
    </w:p>
    <w:p>
      <w:pPr>
        <w:spacing w:after="120"/>
        <w:jc w:val="both"/>
      </w:pPr>
      <w:r>
        <w:rPr>
          <w:rFonts w:ascii="Arial" w:cs="Arial" w:eastAsia="Arial" w:hAnsi="Arial"/>
          <w:sz w:val="24"/>
          <w:szCs w:val="24"/>
        </w:rPr>
        <w:t xml:space="preserve">7. Для начисления второй страховой части пенсии (СП2) одновременно в территориальное отделение Социального фонда по месту жительства заявитель предоставляет заявление о назначении второй страховой части пенсии (СП2) и документы, подтверждающие стаж его работы, в том числе на льготных условиях; сообщения о занятости и заработной плате; справку, подтверждающую факт назначения на предприятии пенсии на льготных условиях с указанием даты назначения пенсии.</w:t>
      </w:r>
    </w:p>
    <w:p>
      <w:pPr>
        <w:spacing w:after="120"/>
        <w:jc w:val="both"/>
      </w:pPr>
      <w:r>
        <w:rPr>
          <w:rFonts w:ascii="Arial" w:cs="Arial" w:eastAsia="Arial" w:hAnsi="Arial"/>
          <w:sz w:val="24"/>
          <w:szCs w:val="24"/>
        </w:rPr>
        <w:t xml:space="preserve">8. Региональные органы Социального фонда, принимая представленные заявителем документы, для определения права на пенсию на льготных условиях, обязаны проверить: имеющийся у заявителя ко дню обращения страховой стаж работы; возраст заявителя; наличие Удостоверения на социальную защиту; правильность заполнения "Сообщения о занятости и заработной плате" и отметку об уплате страховых взносов. После проверки предоставленных документов, заявление о назначении второй страховой части пенсии (СП2) регистрируется в установленном порядке в журнале регистрации заявлений о новом назначении пенсий. "Сообщение о занятости и заработной плате" регистрируется в специальном журнале регистрации по отправке "Сообщение о занятости и заработной плате" в отделе персонифицированного учета.</w:t>
      </w:r>
    </w:p>
    <w:p>
      <w:pPr>
        <w:spacing w:after="120"/>
        <w:jc w:val="both"/>
      </w:pPr>
      <w:r>
        <w:rPr>
          <w:rFonts w:ascii="Arial" w:cs="Arial" w:eastAsia="Arial" w:hAnsi="Arial"/>
          <w:sz w:val="24"/>
          <w:szCs w:val="24"/>
        </w:rPr>
        <w:t xml:space="preserve">9. Региональные органы Социального фонда оформляют пенсионное дело со всеми необходимыми документами: заявлением о назначении второй страховой части пенсии (СП2); заверенной печатью копией трудовой книжки; справкой о работе, дающей право на льготную пенсию; справкой, подтверждающей назначение базовой и первой страховой частей пенсии (СП1) на предприятии.</w:t>
      </w:r>
    </w:p>
    <w:p>
      <w:pPr>
        <w:spacing w:after="120"/>
        <w:jc w:val="both"/>
      </w:pPr>
      <w:r>
        <w:rPr>
          <w:rFonts w:ascii="Arial" w:cs="Arial" w:eastAsia="Arial" w:hAnsi="Arial"/>
          <w:sz w:val="24"/>
          <w:szCs w:val="24"/>
        </w:rPr>
        <w:t xml:space="preserve">10. Оформленные пенсионные дела направляются для назначения пенсии в Управление по централизованному назначению и перерасчету пенсий Социального фонда Кыргызской Республики. Зарегистрированные "Сообщения о занятости и заработной плате" направляются в городские и областные отделы персонифицированного учета Социального фонда Кыргызской Республики.</w:t>
      </w:r>
    </w:p>
    <w:p>
      <w:pPr>
        <w:spacing w:after="120"/>
        <w:jc w:val="both"/>
      </w:pPr>
      <w:r>
        <w:rPr>
          <w:rFonts w:ascii="Arial" w:cs="Arial" w:eastAsia="Arial" w:hAnsi="Arial"/>
          <w:sz w:val="24"/>
          <w:szCs w:val="24"/>
        </w:rPr>
        <w:t xml:space="preserve">11. Управление по централизованному назначению и перерасчету пенсий Социального фонда Кыргызской Республики принимает пенсионные дела, проверяет и формирует из документов электронную информацию согласно законодательству Кыргызской Республики. После принятия решения о назначении пенсий пенсионное дело возвращается в соответствующие региональные органы Социального фонда Кыргызской Республики.</w:t>
      </w:r>
    </w:p>
    <w:p>
      <w:pPr>
        <w:spacing w:after="120"/>
        <w:jc w:val="both"/>
      </w:pPr>
      <w:r>
        <w:rPr>
          <w:rFonts w:ascii="Arial" w:cs="Arial" w:eastAsia="Arial" w:hAnsi="Arial"/>
          <w:sz w:val="24"/>
          <w:szCs w:val="24"/>
        </w:rPr>
        <w:t xml:space="preserve">12. Региональные органы Социального фонда открывают на получателя второй страховой части пенсии (СП2) специальный лицевой счет; по желанию пенсионера оформляют документы на выплату второй страховой части пенсии (СП2) либо путем зачисления на его счет в банковской или иной кредитной организации, либо путем доставки по месту жительства предприятиями связи по поручениям ф.П-2.</w:t>
      </w:r>
    </w:p>
    <w:p>
      <w:pPr>
        <w:spacing w:after="120"/>
        <w:jc w:val="both"/>
      </w:pPr>
      <w:r>
        <w:rPr>
          <w:rFonts w:ascii="Arial" w:cs="Arial" w:eastAsia="Arial" w:hAnsi="Arial"/>
          <w:sz w:val="24"/>
          <w:szCs w:val="24"/>
        </w:rPr>
        <w:t xml:space="preserve">13. Срок назначения второй страховой части пенсии (СП2) устанавливается в соответствии со статьей 25-1 Закона Кыргызской Республики "О государственном пенсионном социальном страховании", т.е. со дня обращения, но не ранее возникновения права на ее получение.</w:t>
      </w:r>
    </w:p>
    <w:p>
      <w:pPr>
        <w:spacing w:after="120"/>
        <w:jc w:val="both"/>
      </w:pPr>
      <w:r>
        <w:rPr>
          <w:rFonts w:ascii="Arial" w:cs="Arial" w:eastAsia="Arial" w:hAnsi="Arial"/>
          <w:sz w:val="24"/>
          <w:szCs w:val="24"/>
        </w:rPr>
        <w:t xml:space="preserve">14. Вторая страховая часть пенсии (СП2) выплачивается в соответствии со статьей 27 Закона Кыргызской Республики "О государственном пенсионном социальном страховании" за истекший месяц.</w:t>
      </w:r>
    </w:p>
    <w:p>
      <w:pPr>
        <w:spacing w:after="120"/>
        <w:jc w:val="both"/>
      </w:pPr>
      <w:r>
        <w:rPr>
          <w:rFonts w:ascii="Arial" w:cs="Arial" w:eastAsia="Arial" w:hAnsi="Arial"/>
          <w:sz w:val="24"/>
          <w:szCs w:val="24"/>
        </w:rPr>
        <w:t xml:space="preserve">15. При перемене места жительства пенсионера, получающего вторую страховую часть пенсии (СП2), пенсионное дело выдается на руки согласно заявлению пенсионера и выписке о снятии с учета по месту жительства (прописки) или высылается по запросу других региональных органов Социального фонда.</w:t>
      </w:r>
    </w:p>
    <w:p>
      <w:pPr>
        <w:spacing w:after="120"/>
        <w:jc w:val="both"/>
      </w:pPr>
      <w:r>
        <w:rPr>
          <w:rFonts w:ascii="Arial" w:cs="Arial" w:eastAsia="Arial" w:hAnsi="Arial"/>
          <w:sz w:val="24"/>
          <w:szCs w:val="24"/>
        </w:rPr>
        <w:t xml:space="preserve">16. Работающим пенсионерам, получающим вторую страховую часть пенсии (СП2), ежегодно производится перерасчет пенсии в соответствии со статьей 22 Закона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17. В случае смерти работающего пенсионера, получавшего вторую страховую часть пенсии (СП2), пособие на погребение выплачивается членам его семьи по месту работы.</w:t>
      </w:r>
    </w:p>
    <w:p>
      <w:pPr>
        <w:spacing w:after="120"/>
        <w:jc w:val="both"/>
      </w:pPr>
      <w:r>
        <w:rPr>
          <w:rFonts w:ascii="Arial" w:cs="Arial" w:eastAsia="Arial" w:hAnsi="Arial"/>
          <w:sz w:val="24"/>
          <w:szCs w:val="24"/>
        </w:rPr>
        <w:t xml:space="preserve">18. В случае смерти неработающего пенсионера, получавшего вторую страховую часть пенсии (СП2), пособие на погребение членам его семьи или лицам, осуществлявшим похороны пенсионера, выплачивается через органы Социального фонда по месту получения второй страховой части пенсии (СП2) в соответствии со статьей 32 Закона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19. По достижении общеустановленного пенсионного возраста лица, получающие вторую страховую часть пенсии (СП2) на льготных условиях по Списку № 2, за особые условия труда и работники текстильных производств, обращаются в органы Социального фонда с заявлением о назначении пенсии по возрасту на общих условиях с предоставлением всех необходимых документов для назначения пенсии.</w:t>
      </w:r>
    </w:p>
    <w:p>
      <w:pPr>
        <w:spacing w:after="120"/>
        <w:jc w:val="both"/>
      </w:pPr>
      <w:r>
        <w:rPr>
          <w:rFonts w:ascii="Arial" w:cs="Arial" w:eastAsia="Arial" w:hAnsi="Arial"/>
          <w:sz w:val="24"/>
          <w:szCs w:val="24"/>
        </w:rPr>
        <w:t xml:space="preserve">20. Вторая страховая часть пенсии (СП2) учитывается в том же размере, в каком она выплачивалась ранее Социальным фондом. Для граждан, продолжающих после назначения пенсии работать и уплачивать страховые взносы, вторая страховая часть пенсии (СП2) пересчитывается при установлении права на перерасчет.</w:t>
      </w:r>
    </w:p>
    <w:p>
      <w:pPr>
        <w:spacing w:after="120"/>
        <w:jc w:val="both"/>
      </w:pPr>
      <w:r>
        <w:rPr>
          <w:rFonts w:ascii="Arial" w:cs="Arial" w:eastAsia="Arial" w:hAnsi="Arial"/>
          <w:sz w:val="24"/>
          <w:szCs w:val="24"/>
        </w:rPr>
        <w:t xml:space="preserve">21. В случае полной ликвидации предприятия, полагающиеся для покрытия расходов суммы, связанные с выплатой пенсий по Списку № 2, за особые условия труда и работникам текстильных производств, перечисляются в Социальный фонд Кыргызской Республики. Расчет капитализированной суммы производится в соответствии с Правилами о порядке применения процедур процесса банкротства, утвержденными постановлением Правительства Кыргызской Республики "Об утверждении Правил о порядке применения процедур процесса банкротства" от 30 декабря 1998 года № 865, и Положением о порядке капитализации средств, утвержденным постановлением Правительства Кыргызской Республики "Об утверждении Положения о порядке капитализации средств" от 30 августа 2006 года № 629.</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krynjrfmp1oyv-qrjj-z">
      <w:r>
        <w:rPr>
          <w:rFonts w:ascii="Arial" w:cs="Arial" w:eastAsia="Arial" w:hAnsi="Arial"/>
          <w:color w:val="132D3F"/>
          <w:sz w:val="16"/>
          <w:szCs w:val="16"/>
          <w:u w:val="single"/>
        </w:rPr>
        <w:t xml:space="preserve">dalil.kg/document/95175</w:t>
      </w:r>
    </w:hyperlink>
  </w:p>
  <w:p>
    <w:pPr>
      <w:spacing w:after="0" w:before="40"/>
      <w:jc w:val="center"/>
    </w:pPr>
    <w:hyperlink w:history="1" r:id="rIdumfzgju0islrw7cclef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3aqsvnecdyrkls_1gui-" Type="http://schemas.openxmlformats.org/officeDocument/2006/relationships/hyperlink" Target="https://dalil.kg/document/95090" TargetMode="External"/><Relationship Id="rIda1gvtxqevnibcfo98bqxf" Type="http://schemas.openxmlformats.org/officeDocument/2006/relationships/hyperlink" Target="https://dalil.kg/document/6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krynjrfmp1oyv-qrjj-z" Type="http://schemas.openxmlformats.org/officeDocument/2006/relationships/hyperlink" Target="https://dalil.kg/document/95175" TargetMode="External"/><Relationship Id="rIdumfzgju0islrw7cclef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2026-09-25T21:04:46.897Z</dcterms:created>
  <dcterms:modified xsi:type="dcterms:W3CDTF">2026-09-25T21:04:46.897Z</dcterms:modified>
</cp:coreProperties>
</file>

<file path=docProps/custom.xml><?xml version="1.0" encoding="utf-8"?>
<Properties xmlns="http://schemas.openxmlformats.org/officeDocument/2006/custom-properties" xmlns:vt="http://schemas.openxmlformats.org/officeDocument/2006/docPropsVTypes"/>
</file>