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w:t>
      </w:r>
    </w:p>
    <w:p>
      <w:pPr>
        <w:spacing w:after="120"/>
        <w:jc w:val="center"/>
      </w:pPr>
      <w:r>
        <w:rPr>
          <w:rFonts w:ascii="Arial" w:cs="Arial" w:eastAsia="Arial" w:hAnsi="Arial"/>
          <w:i/>
          <w:iCs/>
          <w:sz w:val="24"/>
          <w:szCs w:val="24"/>
        </w:rPr>
        <w:t xml:space="preserve">в соответствии с </w:t>
      </w:r>
      <w:hyperlink w:history="1" r:id="rId-mnnxflbju6rygfi1qshr">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w:t>
      </w:r>
    </w:p>
    <w:p>
      <w:pPr>
        <w:spacing w:after="120"/>
        <w:jc w:val="center"/>
      </w:pPr>
      <w:r>
        <w:rPr>
          <w:rFonts w:ascii="Arial" w:cs="Arial" w:eastAsia="Arial" w:hAnsi="Arial"/>
          <w:i/>
          <w:iCs/>
          <w:sz w:val="24"/>
          <w:szCs w:val="24"/>
        </w:rPr>
        <w:t xml:space="preserve">от 14 сентября 2015 года № 631</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
 </w:t>
      </w:r>
      <w:hyperlink w:history="1" r:id="rId8jk8ge9trhsi91ykxphj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13 июня 2011 года № 306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 порядке взимания и использования платы за специальное пользование объектами животного мира и пользование объектами растительного мира по специальному разрешению в Кыргызской Республике</w:t>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Настоящее Положение о порядке взимания и использования платы за специальное пользование объектами животного мира и пользование объектами растительного мира по специальному разрешению в Кыргызской Республике (далее - Положение) разработано в соответствии с Законом Кыргызской Республики "О ставках платы за пользование природными объектами животного и растительного мира в Кыргызской Республике" и нормативными правовыми актами, регламентирующими платность природопользования. Положение устанавливает порядок взимания и использования платы за специальное пользование объектами животного мира и пользование объектами растительного мира по специальному разрешению (кроме лесов) в Кыргызской Республике.</w:t>
      </w:r>
    </w:p>
    <w:p>
      <w:pPr>
        <w:spacing w:after="120"/>
        <w:jc w:val="both"/>
      </w:pPr>
      <w:r>
        <w:rPr>
          <w:rFonts w:ascii="Arial" w:cs="Arial" w:eastAsia="Arial" w:hAnsi="Arial"/>
          <w:sz w:val="24"/>
          <w:szCs w:val="24"/>
        </w:rPr>
        <w:t xml:space="preserve">2. Плата за специальное пользование объектами животного мира и пользование объектами растительного мира по специальному разрешению взимается специально уполномоченным органом в области охраны окружающей среды и лесного хозяйства с юридических и физических лиц, являющихся пользователями природных ресурсов.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Порядок взимания платы за специальное пользование объектами животного мира и пользование объектами растительного мира по специальному разрешению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Плата за специальное пользование объектами животного мира и пользование объектами растительного мира по специальному разрешению осуществляется в размере ставок, установленных </w:t>
      </w:r>
      <w:hyperlink w:history="1" r:id="rIdr5ob7evezwidwngr3tvt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ставках платы за пользование природными объектами животного и растительного мира в Кыргызской Республике".</w:t>
      </w:r>
    </w:p>
    <w:p>
      <w:pPr>
        <w:spacing w:after="120"/>
        <w:jc w:val="both"/>
      </w:pPr>
      <w:r>
        <w:rPr>
          <w:rFonts w:ascii="Arial" w:cs="Arial" w:eastAsia="Arial" w:hAnsi="Arial"/>
          <w:sz w:val="24"/>
          <w:szCs w:val="24"/>
        </w:rPr>
        <w:t xml:space="preserve">4. Основанием для взимания установленной платы за специальное пользование объектами животного мира и пользование объектами растительного мира по специальному разрешению являются разрешения, выдаваемые специально уполномоченным органом в области охраны окружающей среды и лесного хозяйства, и сведения о фактическом использовании объектов животного и растительного мира.</w:t>
      </w:r>
    </w:p>
    <w:p>
      <w:pPr>
        <w:spacing w:after="120"/>
        <w:jc w:val="both"/>
      </w:pPr>
      <w:r>
        <w:rPr>
          <w:rFonts w:ascii="Arial" w:cs="Arial" w:eastAsia="Arial" w:hAnsi="Arial"/>
          <w:sz w:val="24"/>
          <w:szCs w:val="24"/>
        </w:rPr>
        <w:t xml:space="preserve">5. Плата за специальное пользование объектами животного мира, добываемыми иностранными гражданами при проведении охотничьих туров, осуществляется в два этапа:</w:t>
      </w:r>
    </w:p>
    <w:p>
      <w:pPr>
        <w:spacing w:after="120"/>
        <w:jc w:val="both"/>
      </w:pPr>
      <w:r>
        <w:rPr>
          <w:rFonts w:ascii="Arial" w:cs="Arial" w:eastAsia="Arial" w:hAnsi="Arial"/>
          <w:sz w:val="24"/>
          <w:szCs w:val="24"/>
        </w:rPr>
        <w:t xml:space="preserve">- в размере 5 процентов от установленных ставок за весь разрешенный объем пользования вида охотничьего животного, согласно выделенным охотпользователям квотам, до начала сроков проведения охотничьих туров по каждому виду охотничьих животных, при получении разрешения на добычу диких животных. Внесенная сумма возврату природопользователю не подлежит;</w:t>
      </w:r>
    </w:p>
    <w:p>
      <w:pPr>
        <w:spacing w:after="120"/>
        <w:jc w:val="both"/>
      </w:pPr>
      <w:r>
        <w:rPr>
          <w:rFonts w:ascii="Arial" w:cs="Arial" w:eastAsia="Arial" w:hAnsi="Arial"/>
          <w:sz w:val="24"/>
          <w:szCs w:val="24"/>
        </w:rPr>
        <w:t xml:space="preserve">- оставшаяся сумма в размере 95 процентов от установленных ставок платы за фактически добытые объекты животного мира вносится при получении разрешения на вывоз добытых диких животных (трофеев), но не позднее одного месяца с момента их добычи.</w:t>
      </w:r>
    </w:p>
    <w:p>
      <w:pPr>
        <w:spacing w:after="120"/>
        <w:jc w:val="both"/>
      </w:pPr>
      <w:r>
        <w:rPr>
          <w:rFonts w:ascii="Arial" w:cs="Arial" w:eastAsia="Arial" w:hAnsi="Arial"/>
          <w:sz w:val="24"/>
          <w:szCs w:val="24"/>
        </w:rPr>
        <w:t xml:space="preserve">6. При других видах специального пользования объектами животного мира и пользовании объектами растительного мира по специальному разрешению природопользователи вносят установленную плату в полном объеме за весь разрешенный объем пользования при получении соответствующего разрешительного документа.</w:t>
      </w:r>
    </w:p>
    <w:p>
      <w:pPr>
        <w:spacing w:after="120"/>
        <w:jc w:val="both"/>
      </w:pPr>
      <w:r>
        <w:rPr>
          <w:rFonts w:ascii="Arial" w:cs="Arial" w:eastAsia="Arial" w:hAnsi="Arial"/>
          <w:sz w:val="24"/>
          <w:szCs w:val="24"/>
        </w:rPr>
        <w:t xml:space="preserve">7. Плата за специальное пользование объектами животного мира и пользование объектами растительного мира по специальному разрешению поступает на счет Республиканского фонда охраны природы и развития лесной отрасли (далее - РФОП и РЛО) Государственного агентства охраны окружающей среды и лесного хозяйства при Правительстве Кыргызской Республики в соответствии с </w:t>
      </w:r>
      <w:hyperlink w:history="1" r:id="rIdxxbxjuhd7dk-8h2z0yqly">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местных и республиканском фондах охраны природы в Кыргызской Республике" от 21 июля 1992 года.</w:t>
      </w:r>
    </w:p>
    <w:p>
      <w:pPr>
        <w:spacing w:after="120"/>
        <w:jc w:val="both"/>
      </w:pPr>
      <w:r>
        <w:rPr>
          <w:rFonts w:ascii="Arial" w:cs="Arial" w:eastAsia="Arial" w:hAnsi="Arial"/>
          <w:sz w:val="24"/>
          <w:szCs w:val="24"/>
        </w:rPr>
        <w:t xml:space="preserve">8. Плата за специальное пользование объектами животного мира и пользование объектами растительного мира по специальному разрешению не взимается в случаях, установленных статьями 2 и 3 Закона Кыргызской Республики "О ставках платы за пользование природными объектами животного и растительного мира в Кыргызской Республике".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Порядок использования платы за специальное пользование объектами животного мира и пользование объектами растительного мира по специальному разрешению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9. Денежные средства, полученные за специальное пользование объектами животного мира и пользование объектами растительного мира по специальному разрешению, направляются на финансирование работ по учету объектов животного и растительного мира, осуществлению мониторинга их состояния и изменения численности (количества), проведению научных исследований объектов животного и растительного мира, их охраны и воспроизводства, регулированию численности вредных животных, укреплению материально-технической базы и иных затрат, связанных с деятельностью органов государственного управления в области природопользования.</w:t>
      </w:r>
    </w:p>
    <w:p>
      <w:pPr>
        <w:spacing w:after="120"/>
        <w:jc w:val="both"/>
      </w:pPr>
      <w:r>
        <w:rPr>
          <w:rFonts w:ascii="Arial" w:cs="Arial" w:eastAsia="Arial" w:hAnsi="Arial"/>
          <w:sz w:val="24"/>
          <w:szCs w:val="24"/>
        </w:rPr>
        <w:t xml:space="preserve">10. Сумма платы за специальное пользование объектами животного мира при проведении охотничьих туров с участием иностранных охотников распределяется следующим образом:</w:t>
      </w:r>
    </w:p>
    <w:p>
      <w:pPr>
        <w:spacing w:after="120"/>
        <w:jc w:val="both"/>
      </w:pPr>
      <w:r>
        <w:rPr>
          <w:rFonts w:ascii="Arial" w:cs="Arial" w:eastAsia="Arial" w:hAnsi="Arial"/>
          <w:sz w:val="24"/>
          <w:szCs w:val="24"/>
        </w:rPr>
        <w:t xml:space="preserve">- 20 процентов направляются через РФОП и РЛО в местные бюджеты органов местного самоуправления, на территории которых проводились охотничьи туры для иностранных охотников;</w:t>
      </w:r>
    </w:p>
    <w:p>
      <w:pPr>
        <w:spacing w:after="120"/>
        <w:jc w:val="both"/>
      </w:pPr>
      <w:r>
        <w:rPr>
          <w:rFonts w:ascii="Arial" w:cs="Arial" w:eastAsia="Arial" w:hAnsi="Arial"/>
          <w:sz w:val="24"/>
          <w:szCs w:val="24"/>
        </w:rPr>
        <w:t xml:space="preserve">- 35 процентов направляются через РФОП и РЛО охотпользователям в целях софинансирования работ по сохранению и воспроизводству природных ресурсов (проведение биотехнических мероприятий, мониторинга популяций, охраны, укрепления материально-технической базы) согласно разработанным планам;</w:t>
      </w:r>
    </w:p>
    <w:p>
      <w:pPr>
        <w:spacing w:after="120"/>
        <w:jc w:val="both"/>
      </w:pPr>
      <w:r>
        <w:rPr>
          <w:rFonts w:ascii="Arial" w:cs="Arial" w:eastAsia="Arial" w:hAnsi="Arial"/>
          <w:sz w:val="24"/>
          <w:szCs w:val="24"/>
        </w:rPr>
        <w:t xml:space="preserve">- 30 процентов направляются через РФОП и РЛО в республиканский государственный орган управления в сфере охоты и охотхозяйственной деятельности Государственного агентства охраны окружающей среды и лесного хозяйства при Правительстве Кыргызской Республики, на укрепление материально-технической базы, проведение биотехнических мероприятий, мониторинг популяций, охрану, регулирование численности вредных животных и иные затраты, связанные с деятельностью республиканского государственного органа управления в сфере охоты и охотхозяйственной деятельности;</w:t>
      </w:r>
    </w:p>
    <w:p>
      <w:pPr>
        <w:spacing w:after="120"/>
        <w:jc w:val="both"/>
      </w:pPr>
      <w:r>
        <w:rPr>
          <w:rFonts w:ascii="Arial" w:cs="Arial" w:eastAsia="Arial" w:hAnsi="Arial"/>
          <w:sz w:val="24"/>
          <w:szCs w:val="24"/>
        </w:rPr>
        <w:t xml:space="preserve">- 15 процентов остаются в распоряжении РФОП и РЛО для реализации природоохранных мероприятий.</w:t>
      </w:r>
    </w:p>
    <w:p>
      <w:pPr>
        <w:spacing w:after="120"/>
        <w:jc w:val="both"/>
      </w:pPr>
      <w:r>
        <w:rPr>
          <w:rFonts w:ascii="Arial" w:cs="Arial" w:eastAsia="Arial" w:hAnsi="Arial"/>
          <w:sz w:val="24"/>
          <w:szCs w:val="24"/>
        </w:rPr>
        <w:t xml:space="preserve">11. Сумма платы за специальное пользование объектами животного мира при проведении государственными охотпользователями туров с участием иностранных охотников распределяется следующим образом:</w:t>
      </w:r>
    </w:p>
    <w:p>
      <w:pPr>
        <w:spacing w:after="120"/>
        <w:jc w:val="both"/>
      </w:pPr>
      <w:r>
        <w:rPr>
          <w:rFonts w:ascii="Arial" w:cs="Arial" w:eastAsia="Arial" w:hAnsi="Arial"/>
          <w:sz w:val="24"/>
          <w:szCs w:val="24"/>
        </w:rPr>
        <w:t xml:space="preserve">- 65 процентов остаются в распоряжении государственных охотпользователей на производство работ по сохранению и воспроизводству природных ресурсов (проведение биотехнических мероприятий, регулирование численности вредных животных) и укрепление материально-технической базы, а также иные затраты, связанные с деятельностью государственных охотничьих хозяйств;</w:t>
      </w:r>
    </w:p>
    <w:p>
      <w:pPr>
        <w:spacing w:after="120"/>
        <w:jc w:val="both"/>
      </w:pPr>
      <w:r>
        <w:rPr>
          <w:rFonts w:ascii="Arial" w:cs="Arial" w:eastAsia="Arial" w:hAnsi="Arial"/>
          <w:sz w:val="24"/>
          <w:szCs w:val="24"/>
        </w:rPr>
        <w:t xml:space="preserve">- 20 процентов направляются через РФОП и РЛО в местные бюджеты органов местного самоуправления, на территории которых проводились охотничьи туры для иностранных охотников;</w:t>
      </w:r>
    </w:p>
    <w:p>
      <w:pPr>
        <w:spacing w:after="120"/>
        <w:jc w:val="both"/>
      </w:pPr>
      <w:r>
        <w:rPr>
          <w:rFonts w:ascii="Arial" w:cs="Arial" w:eastAsia="Arial" w:hAnsi="Arial"/>
          <w:sz w:val="24"/>
          <w:szCs w:val="24"/>
        </w:rPr>
        <w:t xml:space="preserve">- 15 процентов (с учетом предварительно внесенных сумм в размере 5 процентов при получении разрешений на добычу диких животных) остаются в распоряжении РФОП и РЛО для реализации природоохранных мероприятий.</w:t>
      </w:r>
    </w:p>
    <w:p>
      <w:pPr>
        <w:spacing w:after="120"/>
        <w:jc w:val="both"/>
      </w:pPr>
      <w:r>
        <w:rPr>
          <w:rFonts w:ascii="Arial" w:cs="Arial" w:eastAsia="Arial" w:hAnsi="Arial"/>
          <w:sz w:val="24"/>
          <w:szCs w:val="24"/>
        </w:rPr>
        <w:t xml:space="preserve">12. Сумма платы за пользование объектами растительного мира по специальному разрешению распределяется следующим образом:</w:t>
      </w:r>
    </w:p>
    <w:p>
      <w:pPr>
        <w:spacing w:after="120"/>
        <w:jc w:val="both"/>
      </w:pPr>
      <w:r>
        <w:rPr>
          <w:rFonts w:ascii="Arial" w:cs="Arial" w:eastAsia="Arial" w:hAnsi="Arial"/>
          <w:sz w:val="24"/>
          <w:szCs w:val="24"/>
        </w:rPr>
        <w:t xml:space="preserve">- 30 процентов направляются через РФОП и РЛО в местные бюджеты органов местного самоуправления, на территории которых проводились сбор (заготовка) объектов растительного мира;</w:t>
      </w:r>
    </w:p>
    <w:p>
      <w:pPr>
        <w:spacing w:after="120"/>
        <w:jc w:val="both"/>
      </w:pPr>
      <w:r>
        <w:rPr>
          <w:rFonts w:ascii="Arial" w:cs="Arial" w:eastAsia="Arial" w:hAnsi="Arial"/>
          <w:sz w:val="24"/>
          <w:szCs w:val="24"/>
        </w:rPr>
        <w:t xml:space="preserve">- 70 процентов остаются в распоряжении РФОП и РЛО для реализации природоохранных мероприятий, из которых в обязательном порядке:</w:t>
      </w:r>
    </w:p>
    <w:p>
      <w:pPr>
        <w:spacing w:after="120"/>
        <w:jc w:val="both"/>
      </w:pPr>
      <w:r>
        <w:rPr>
          <w:rFonts w:ascii="Arial" w:cs="Arial" w:eastAsia="Arial" w:hAnsi="Arial"/>
          <w:sz w:val="24"/>
          <w:szCs w:val="24"/>
        </w:rPr>
        <w:t xml:space="preserve">30 процентов направляются на проведение мониторинга и оценки запасов объектов растительного мира специализированным научным учреждениям на основании поданной заявки;</w:t>
      </w:r>
    </w:p>
    <w:p>
      <w:pPr>
        <w:spacing w:after="120"/>
        <w:jc w:val="both"/>
      </w:pPr>
      <w:r>
        <w:rPr>
          <w:rFonts w:ascii="Arial" w:cs="Arial" w:eastAsia="Arial" w:hAnsi="Arial"/>
          <w:sz w:val="24"/>
          <w:szCs w:val="24"/>
        </w:rPr>
        <w:t xml:space="preserve">30 процентов направляются территориальным управлениям охраны окружающей среды и развития лесных экосистем Государственного агентства охраны окружающей среды и лесного хозяйства при Правительстве Кыргызской Республики на осуществление государственного контроля, укрепление материально-технической базы, связанные с их деятельностью;</w:t>
      </w:r>
    </w:p>
    <w:p>
      <w:pPr>
        <w:spacing w:after="120"/>
        <w:jc w:val="both"/>
      </w:pPr>
      <w:r>
        <w:rPr>
          <w:rFonts w:ascii="Arial" w:cs="Arial" w:eastAsia="Arial" w:hAnsi="Arial"/>
          <w:sz w:val="24"/>
          <w:szCs w:val="24"/>
        </w:rPr>
        <w:t xml:space="preserve">10 процентов остаются в распоряжении РФОП и РЛО для реализации природоохранных мероприятий.</w:t>
      </w:r>
    </w:p>
    <w:p>
      <w:pPr>
        <w:spacing w:after="120"/>
        <w:jc w:val="both"/>
      </w:pPr>
      <w:r>
        <w:rPr>
          <w:rFonts w:ascii="Arial" w:cs="Arial" w:eastAsia="Arial" w:hAnsi="Arial"/>
          <w:sz w:val="24"/>
          <w:szCs w:val="24"/>
        </w:rPr>
        <w:t xml:space="preserve">13. Все расчеты, предусмотренные в разделе 3 настоящего Положения, между РФОП и РЛО и охотпользователями, республиканским государственным органом управления в сфере охоты и охотхозяйственной деятельности, территориальными управлениями Государственного агентства охраны окружающей среды и лесного хозяйства при Правительстве Кыргызской Республики и другими органами производятся в конце каждого месяца.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mqg2jw86ymjugkb4pvcw">
      <w:r>
        <w:rPr>
          <w:rFonts w:ascii="Arial" w:cs="Arial" w:eastAsia="Arial" w:hAnsi="Arial"/>
          <w:color w:val="132D3F"/>
          <w:sz w:val="16"/>
          <w:szCs w:val="16"/>
          <w:u w:val="single"/>
        </w:rPr>
        <w:t xml:space="preserve">dalil.kg/document/95186</w:t>
      </w:r>
    </w:hyperlink>
  </w:p>
  <w:p>
    <w:pPr>
      <w:spacing w:after="0" w:before="40"/>
      <w:jc w:val="center"/>
    </w:pPr>
    <w:hyperlink w:history="1" r:id="rIdjauaecizwywvu0bwd1ln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nnxflbju6rygfi1qshr" Type="http://schemas.openxmlformats.org/officeDocument/2006/relationships/hyperlink" Target="https://dalil.kg/document/98051" TargetMode="External"/><Relationship Id="rId8jk8ge9trhsi91ykxphje" Type="http://schemas.openxmlformats.org/officeDocument/2006/relationships/hyperlink" Target="https://dalil.kg/document/95181" TargetMode="External"/><Relationship Id="rIdr5ob7evezwidwngr3tvtb" Type="http://schemas.openxmlformats.org/officeDocument/2006/relationships/hyperlink" Target="https://dalil.kg/document/202414" TargetMode="External"/><Relationship Id="rIdxxbxjuhd7dk-8h2z0yqly" Type="http://schemas.openxmlformats.org/officeDocument/2006/relationships/hyperlink" Target="https://dalil.kg/document/4140"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mqg2jw86ymjugkb4pvcw" Type="http://schemas.openxmlformats.org/officeDocument/2006/relationships/hyperlink" Target="https://dalil.kg/document/95186" TargetMode="External"/><Relationship Id="rIdjauaecizwywvu0bwd1ln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2026-09-24T15:51:06.335Z</dcterms:created>
  <dcterms:modified xsi:type="dcterms:W3CDTF">2026-09-24T15:51:06.335Z</dcterms:modified>
</cp:coreProperties>
</file>

<file path=docProps/custom.xml><?xml version="1.0" encoding="utf-8"?>
<Properties xmlns="http://schemas.openxmlformats.org/officeDocument/2006/custom-properties" xmlns:vt="http://schemas.openxmlformats.org/officeDocument/2006/docPropsVTypes"/>
</file>