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u4j4ygj0pdncpmmttb1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588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допуске ценных бумаг, выпущенных эмитентами других государств, к публичному предложению на территории Кыргызской Республики</w:t>
      </w:r>
    </w:p>
    <w:p>
      <w:pPr>
        <w:spacing w:after="120"/>
        <w:jc w:val="both"/>
      </w:pPr>
      <w:r>
        <w:rPr>
          <w:rFonts w:ascii="Arial" w:cs="Arial" w:eastAsia="Arial" w:hAnsi="Arial"/>
          <w:b w:val="false"/>
          <w:bCs w:val="false"/>
          <w:i/>
          <w:iCs/>
          <w:sz w:val="24"/>
          <w:szCs w:val="24"/>
        </w:rPr>
        <w:t xml:space="preserve">(В редакции постановлений Правительства КР от </w:t>
      </w:r>
      <w:hyperlink w:history="1" r:id="rIde8iwgqle3lgulm_hfp_yk">
        <w:r>
          <w:rPr>
            <w:rFonts w:ascii="Arial" w:cs="Arial" w:eastAsia="Arial" w:hAnsi="Arial"/>
            <w:b w:val="false"/>
            <w:bCs w:val="false"/>
            <w:i/>
            <w:iCs/>
            <w:color w:val="1D4ED8"/>
            <w:sz w:val="24"/>
            <w:szCs w:val="24"/>
            <w:u w:val="single"/>
          </w:rPr>
          <w:t xml:space="preserve">13 сентября 2017 года № 565</w:t>
        </w:r>
      </w:hyperlink>
      <w:r>
        <w:rPr>
          <w:rFonts w:ascii="Arial" w:cs="Arial" w:eastAsia="Arial" w:hAnsi="Arial"/>
          <w:b w:val="false"/>
          <w:bCs w:val="false"/>
          <w:i/>
          <w:iCs/>
          <w:sz w:val="24"/>
          <w:szCs w:val="24"/>
        </w:rPr>
        <w:t xml:space="preserve">, </w:t>
      </w:r>
      <w:hyperlink w:history="1" r:id="rIddmhr-kjpcbdx63-xcsjqt">
        <w:r>
          <w:rPr>
            <w:rFonts w:ascii="Arial" w:cs="Arial" w:eastAsia="Arial" w:hAnsi="Arial"/>
            <w:b w:val="false"/>
            <w:bCs w:val="false"/>
            <w:i/>
            <w:iCs/>
            <w:color w:val="1D4ED8"/>
            <w:sz w:val="24"/>
            <w:szCs w:val="24"/>
            <w:u w:val="single"/>
          </w:rPr>
          <w:t xml:space="preserve">28 января 2019 года № 24</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Гражданским </w:t>
      </w:r>
      <w:hyperlink w:history="1" r:id="rIdnvtkkb-o3e--kafk-nvt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n8j-dbyza6kbr9xilozr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и устанавливает порядок допуска к публичному предложению на рынке ценных бумаг Кыргызской Республики ценных бумаг, выпущенных эмитентами других государств (далее - иностранные эмитенты), в случае их публичного предложения к размещению или обращению на вторичном рынке.</w:t>
      </w:r>
    </w:p>
    <w:p>
      <w:pPr>
        <w:spacing w:after="120"/>
        <w:jc w:val="both"/>
      </w:pPr>
      <w:r>
        <w:rPr>
          <w:rFonts w:ascii="Arial" w:cs="Arial" w:eastAsia="Arial" w:hAnsi="Arial"/>
          <w:sz w:val="24"/>
          <w:szCs w:val="24"/>
        </w:rPr>
        <w:t xml:space="preserve">2. Ценные бумаги иностранного эмитента могут публично предлагаться на территории Кыргызской Республики только после регистрации публичного предложения ценных бумаг иностранного эмитента и проспекта данного публичного предложения уполномоченным государственным органом по регулированию рынка ценных бумаг Кыргызской Республики.</w:t>
      </w:r>
    </w:p>
    <w:p>
      <w:pPr>
        <w:spacing w:after="120"/>
        <w:jc w:val="both"/>
      </w:pPr>
      <w:r>
        <w:rPr>
          <w:rFonts w:ascii="Arial" w:cs="Arial" w:eastAsia="Arial" w:hAnsi="Arial"/>
          <w:sz w:val="24"/>
          <w:szCs w:val="24"/>
        </w:rPr>
        <w:t xml:space="preserve">3. Приобретение резидентом Кыргызской Республики ценных бумаг эмитентов других государств за пределами Кыргызской Республики не признается обращением данных ценных бумаг в Кыргызской Республике.</w:t>
      </w:r>
    </w:p>
    <w:p>
      <w:pPr>
        <w:spacing w:after="120"/>
        <w:jc w:val="both"/>
      </w:pPr>
      <w:r>
        <w:rPr>
          <w:rFonts w:ascii="Arial" w:cs="Arial" w:eastAsia="Arial" w:hAnsi="Arial"/>
          <w:sz w:val="24"/>
          <w:szCs w:val="24"/>
        </w:rPr>
        <w:t xml:space="preserve">4. Запрещается публичное предложение в Кыргызской Республике ценных бумаг иностранных эмитентов, не получивших допуск к публичному предложению ценных бумаг, в том числе лицами, приобретшими такие ценные бумаги за пределами Кыргызской Республики.</w:t>
      </w:r>
    </w:p>
    <w:p>
      <w:pPr>
        <w:spacing w:after="120"/>
        <w:jc w:val="both"/>
      </w:pPr>
      <w:r>
        <w:rPr>
          <w:rFonts w:ascii="Arial" w:cs="Arial" w:eastAsia="Arial" w:hAnsi="Arial"/>
          <w:sz w:val="24"/>
          <w:szCs w:val="24"/>
        </w:rPr>
        <w:t xml:space="preserve">5. В случае, если ценные бумаги иностранного эмитента допускаются к публичному предложению ценных бумаг в Кыргызской Республике исключительно для квалифицированных инвесторов, эти ценные бумаги могут приобретать только квалифицированные инвесторы. Приобретение этих ценных бумаг иными лицами допускается только в случаях, установленных настоящим Положением.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l1h6jako-cqjaxmypor-">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Условия допуска ценных бумаг иностранных эмитентов к обращению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Ценные бумаги иностранного эмитента могут публично предлагаться на территории Кыргызской Республики, если иностранный эмитент удовлетворяет следующим условиям:</w:t>
      </w:r>
    </w:p>
    <w:p>
      <w:pPr>
        <w:spacing w:after="120"/>
        <w:jc w:val="both"/>
      </w:pPr>
      <w:r>
        <w:rPr>
          <w:rFonts w:ascii="Arial" w:cs="Arial" w:eastAsia="Arial" w:hAnsi="Arial"/>
          <w:sz w:val="24"/>
          <w:szCs w:val="24"/>
        </w:rPr>
        <w:t xml:space="preserve">- эмитент зарегистрирован в качестве юридического лица в стране, резидентом которой он является, и обладает в соответствии с законодательством страны, где он зарегистрирован, юридическим статусом, эквивалентным открытому акционерному обществу согласно законодательству Кыргызской Республики (в случае публичного предложения акций);</w:t>
      </w:r>
    </w:p>
    <w:p>
      <w:pPr>
        <w:spacing w:after="120"/>
        <w:jc w:val="both"/>
      </w:pPr>
      <w:r>
        <w:rPr>
          <w:rFonts w:ascii="Arial" w:cs="Arial" w:eastAsia="Arial" w:hAnsi="Arial"/>
          <w:sz w:val="24"/>
          <w:szCs w:val="24"/>
        </w:rPr>
        <w:t xml:space="preserve">- эмитент удовлетворяет требованиям, предъявляемым к листингу фондовой биржи, действующей в Кыргызской Республике;</w:t>
      </w:r>
    </w:p>
    <w:p>
      <w:pPr>
        <w:spacing w:after="120"/>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депозитарную деятельность, для учета прав владельцев публично предлагаемых в Кыргызской Республике ценных бумаг эмитента;</w:t>
      </w:r>
    </w:p>
    <w:p>
      <w:pPr>
        <w:spacing w:after="120"/>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брокерскую и/или дилерскую деятельность, для представления его интересов на рынке ценных бумаг Кыргызской Республики;</w:t>
      </w:r>
    </w:p>
    <w:p>
      <w:pPr>
        <w:spacing w:after="120"/>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деятельность по ведению реестра владельцев ценных бумаг, для учета прав владельцев публично предлагаемых в Кыргызской Республике ценных бумаг иностранного эмитента.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_zpltsimyc0ifcw3p954">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К иностранному эмитенту и его ценным бумагам, допускаемым к публичному предложению на территории Кыргызской Республики, также предъявляются требования, установленные законодательством Кыргызской Республики для эмитентов Кыргызской Республики и их ценных бумаг, с учетом того, допускаются ли такие ценные бумаги к публичному предложению неограниченному кругу лиц или только для квалифицированных инвесторов.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pvsfgy_zzwvmm6pjmxo54">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допуска ценных бумаг к публичному предложению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Допуском к публичному предложению ценных бумаг на территории Кыргызской Республики ценных бумаг иностранного эмитента является регистрация проспекта иностранного эмитента.</w:t>
      </w:r>
    </w:p>
    <w:p>
      <w:pPr>
        <w:spacing w:after="120"/>
        <w:jc w:val="both"/>
      </w:pPr>
      <w:r>
        <w:rPr>
          <w:rFonts w:ascii="Arial" w:cs="Arial" w:eastAsia="Arial" w:hAnsi="Arial"/>
          <w:sz w:val="24"/>
          <w:szCs w:val="24"/>
        </w:rPr>
        <w:t xml:space="preserve">9. Для получения допуска ценных бумаг иностранного эмитента в уполномоченный государственный орган по рынку ценных бумаг необходимо представить следующие документы:</w:t>
      </w:r>
    </w:p>
    <w:p>
      <w:pPr>
        <w:spacing w:after="120"/>
        <w:jc w:val="both"/>
      </w:pPr>
      <w:r>
        <w:rPr>
          <w:rFonts w:ascii="Arial" w:cs="Arial" w:eastAsia="Arial" w:hAnsi="Arial"/>
          <w:sz w:val="24"/>
          <w:szCs w:val="24"/>
        </w:rPr>
        <w:t xml:space="preserve">- опись представляемых документов, перечисленных в настоящем пункте;</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общая информация об эмитенте, юридический адрес эмитента, страна, юридическим лицом которой является эмитент;</w:t>
      </w:r>
    </w:p>
    <w:p>
      <w:pPr>
        <w:spacing w:after="120"/>
        <w:jc w:val="both"/>
      </w:pPr>
      <w:r>
        <w:rPr>
          <w:rFonts w:ascii="Arial" w:cs="Arial" w:eastAsia="Arial" w:hAnsi="Arial"/>
          <w:sz w:val="24"/>
          <w:szCs w:val="24"/>
        </w:rPr>
        <w:t xml:space="preserve">- документ (или его копия), подтверждающий принятие уполномоченным органом эмитента решения об обращении (размещении) ценных бумаг в Кыргызской Республике;</w:t>
      </w:r>
    </w:p>
    <w:p>
      <w:pPr>
        <w:spacing w:after="120"/>
        <w:jc w:val="both"/>
      </w:pPr>
      <w:r>
        <w:rPr>
          <w:rFonts w:ascii="Arial" w:cs="Arial" w:eastAsia="Arial" w:hAnsi="Arial"/>
          <w:sz w:val="24"/>
          <w:szCs w:val="24"/>
        </w:rPr>
        <w:t xml:space="preserve">- количество и вид ценных бумаг, предполагаемых к обращению (размещению) в Кыргызской Республике;</w:t>
      </w:r>
    </w:p>
    <w:p>
      <w:pPr>
        <w:spacing w:after="120"/>
        <w:jc w:val="both"/>
      </w:pPr>
      <w:r>
        <w:rPr>
          <w:rFonts w:ascii="Arial" w:cs="Arial" w:eastAsia="Arial" w:hAnsi="Arial"/>
          <w:sz w:val="24"/>
          <w:szCs w:val="24"/>
        </w:rPr>
        <w:t xml:space="preserve">- срок, на который планируется обращение (размещение) ценных бумаг;</w:t>
      </w:r>
    </w:p>
    <w:p>
      <w:pPr>
        <w:spacing w:after="120"/>
        <w:jc w:val="both"/>
      </w:pPr>
      <w:r>
        <w:rPr>
          <w:rFonts w:ascii="Arial" w:cs="Arial" w:eastAsia="Arial" w:hAnsi="Arial"/>
          <w:sz w:val="24"/>
          <w:szCs w:val="24"/>
        </w:rPr>
        <w:t xml:space="preserve">- стоимость размещения ценных бумаг (при размещении);</w:t>
      </w:r>
    </w:p>
    <w:p>
      <w:pPr>
        <w:spacing w:after="120"/>
        <w:jc w:val="both"/>
      </w:pPr>
      <w:r>
        <w:rPr>
          <w:rFonts w:ascii="Arial" w:cs="Arial" w:eastAsia="Arial" w:hAnsi="Arial"/>
          <w:sz w:val="24"/>
          <w:szCs w:val="24"/>
        </w:rPr>
        <w:t xml:space="preserve">- заверенные в установленном порядке копии учредительных документов эмитента или заменяющих их документов;</w:t>
      </w:r>
    </w:p>
    <w:p>
      <w:pPr>
        <w:spacing w:after="120"/>
        <w:jc w:val="both"/>
      </w:pPr>
      <w:r>
        <w:rPr>
          <w:rFonts w:ascii="Arial" w:cs="Arial" w:eastAsia="Arial" w:hAnsi="Arial"/>
          <w:sz w:val="24"/>
          <w:szCs w:val="24"/>
        </w:rPr>
        <w:t xml:space="preserve">- легализованная выписка из реестра или другой документ, удостоверяющий, что данный субъект является действующим юридическим лицом по законодательству своей страны, с нотариально удостоверенным переводом на государственном или официальном языке (легализация вышеуказанных документов не требуется в случаях, предусмотренных международными договорами, вступившими в силу в установленном порядке, участницей которых является Кыргызская Республика);</w:t>
      </w:r>
    </w:p>
    <w:p>
      <w:pPr>
        <w:spacing w:after="120"/>
        <w:jc w:val="both"/>
      </w:pPr>
      <w:r>
        <w:rPr>
          <w:rFonts w:ascii="Arial" w:cs="Arial" w:eastAsia="Arial" w:hAnsi="Arial"/>
          <w:sz w:val="24"/>
          <w:szCs w:val="24"/>
        </w:rPr>
        <w:t xml:space="preserve">- заверенные в установленном порядке копии документов, подтверждающих выпуск эмитентом ценных бумаг, обращение (размещение) которых планируется в Кыргызской Республике.</w:t>
      </w:r>
    </w:p>
    <w:p>
      <w:pPr>
        <w:spacing w:after="120"/>
        <w:jc w:val="both"/>
      </w:pPr>
      <w:r>
        <w:rPr>
          <w:rFonts w:ascii="Arial" w:cs="Arial" w:eastAsia="Arial" w:hAnsi="Arial"/>
          <w:sz w:val="24"/>
          <w:szCs w:val="24"/>
        </w:rPr>
        <w:t xml:space="preserve">Документами, подтверждающими выпуск эмитентом ценных бумаг, могут быть устав или заменяющий его документ, проспект эмиссии (если имеется), документы финансовой отчетности, в которых указаны выпущенные эмитентом ценные бумаги, а также иные документы, на основании которых можно сделать заключение о выпуске эмитентом ценных бумаг;</w:t>
      </w:r>
    </w:p>
    <w:p>
      <w:pPr>
        <w:spacing w:after="120"/>
        <w:jc w:val="both"/>
      </w:pPr>
      <w:r>
        <w:rPr>
          <w:rFonts w:ascii="Arial" w:cs="Arial" w:eastAsia="Arial" w:hAnsi="Arial"/>
          <w:sz w:val="24"/>
          <w:szCs w:val="24"/>
        </w:rPr>
        <w:t xml:space="preserve">- при документарной форме выпуска - образцы ценных бумаг;</w:t>
      </w:r>
    </w:p>
    <w:p>
      <w:pPr>
        <w:spacing w:after="120"/>
        <w:jc w:val="both"/>
      </w:pPr>
      <w:r>
        <w:rPr>
          <w:rFonts w:ascii="Arial" w:cs="Arial" w:eastAsia="Arial" w:hAnsi="Arial"/>
          <w:sz w:val="24"/>
          <w:szCs w:val="24"/>
        </w:rPr>
        <w:t xml:space="preserve">- 3 экземпляра проспекта эмиссии. К нему прилагается проспект эмиссии или иной заменяющий его документ (если имеется), зарегистрированный в регистрирующем органе страны, резидентом которой является эмитент;</w:t>
      </w:r>
    </w:p>
    <w:p>
      <w:pPr>
        <w:spacing w:after="120"/>
        <w:jc w:val="both"/>
      </w:pPr>
      <w:r>
        <w:rPr>
          <w:rFonts w:ascii="Arial" w:cs="Arial" w:eastAsia="Arial" w:hAnsi="Arial"/>
          <w:sz w:val="24"/>
          <w:szCs w:val="24"/>
        </w:rPr>
        <w:t xml:space="preserve">- заверенная в установленном порядке копия договора с профессиональным участником рынка ценных бумаг, осуществляющим брокерскую и дилерскую деятельность, для представления интересов иностранного эмитента на рынке ценных бумаг Кыргызской Республики;</w:t>
      </w:r>
    </w:p>
    <w:p>
      <w:pPr>
        <w:spacing w:after="120"/>
        <w:jc w:val="both"/>
      </w:pPr>
      <w:r>
        <w:rPr>
          <w:rFonts w:ascii="Arial" w:cs="Arial" w:eastAsia="Arial" w:hAnsi="Arial"/>
          <w:sz w:val="24"/>
          <w:szCs w:val="24"/>
        </w:rPr>
        <w:t xml:space="preserve">- заверенная в установленном порядке копия договора с независимым реестродержателем, имеющим соответствую лицензию уполномоченного государственного органа по рынку ценных бумаг об учете прав на ценные бумаги;</w:t>
      </w:r>
    </w:p>
    <w:p>
      <w:pPr>
        <w:spacing w:after="120"/>
        <w:jc w:val="both"/>
      </w:pPr>
      <w:r>
        <w:rPr>
          <w:rFonts w:ascii="Arial" w:cs="Arial" w:eastAsia="Arial" w:hAnsi="Arial"/>
          <w:sz w:val="24"/>
          <w:szCs w:val="24"/>
        </w:rPr>
        <w:t xml:space="preserve">- документ об оплате сбора за допуск ценных бумаг иностранного эмитента к обращению (размещению) на территории Кыргызской Республики;</w:t>
      </w:r>
    </w:p>
    <w:p>
      <w:pPr>
        <w:spacing w:after="120"/>
        <w:jc w:val="both"/>
      </w:pPr>
      <w:r>
        <w:rPr>
          <w:rFonts w:ascii="Arial" w:cs="Arial" w:eastAsia="Arial" w:hAnsi="Arial"/>
          <w:sz w:val="24"/>
          <w:szCs w:val="24"/>
        </w:rPr>
        <w:t xml:space="preserve">- копия документа, подтверждающего получение эмитентом кредитного рейтинга, при его наличии;</w:t>
      </w:r>
    </w:p>
    <w:p>
      <w:pPr>
        <w:spacing w:after="120"/>
        <w:jc w:val="both"/>
      </w:pPr>
      <w:r>
        <w:rPr>
          <w:rFonts w:ascii="Arial" w:cs="Arial" w:eastAsia="Arial" w:hAnsi="Arial"/>
          <w:sz w:val="24"/>
          <w:szCs w:val="24"/>
        </w:rPr>
        <w:t xml:space="preserve">- копия документа, подтверждающего, что эмитент прошел листинг на одной из бирж за пределами страны, при его наличии;</w:t>
      </w:r>
    </w:p>
    <w:p>
      <w:pPr>
        <w:spacing w:after="120"/>
        <w:jc w:val="both"/>
      </w:pPr>
      <w:r>
        <w:rPr>
          <w:rFonts w:ascii="Arial" w:cs="Arial" w:eastAsia="Arial" w:hAnsi="Arial"/>
          <w:sz w:val="24"/>
          <w:szCs w:val="24"/>
        </w:rPr>
        <w:t xml:space="preserve">- финансовая отчетность за последние три года и аудиторские заключения по финансовым отчетностям за эти годы, если срок деятельности эмитента составляет менее этого срока, - то за все годы деятельности эмитента.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6gajvy_qfrv7ibm1obj7e">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Документы иностранного эмитента на иностранном языке представляются вместе с заверенным в установленном порядке переводом на официальный язык Кыргызской Республики.</w:t>
      </w:r>
    </w:p>
    <w:p>
      <w:pPr>
        <w:spacing w:after="120"/>
        <w:jc w:val="both"/>
      </w:pPr>
      <w:r>
        <w:rPr>
          <w:rFonts w:ascii="Arial" w:cs="Arial" w:eastAsia="Arial" w:hAnsi="Arial"/>
          <w:sz w:val="24"/>
          <w:szCs w:val="24"/>
        </w:rPr>
        <w:t xml:space="preserve">11. Должностные лица заявителя (эмитента), подписавшие все перечисленные выше документы и проспект, несут ответственность за достоверность данных, содержащихся в этих документах, в соответствии с законодательством Кыргызской Республики.</w:t>
      </w:r>
    </w:p>
    <w:p>
      <w:pPr>
        <w:spacing w:after="120"/>
        <w:jc w:val="both"/>
      </w:pPr>
      <w:r>
        <w:rPr>
          <w:rFonts w:ascii="Arial" w:cs="Arial" w:eastAsia="Arial" w:hAnsi="Arial"/>
          <w:sz w:val="24"/>
          <w:szCs w:val="24"/>
        </w:rPr>
        <w:t xml:space="preserve">12. Уполномоченный государственный орган по рынку ценных бумаг рассматривает представленные документы в течение 15 рабочих дней.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guz6z5qqtivedpkofo45o">
        <w:r>
          <w:rPr>
            <w:rFonts w:ascii="Arial" w:cs="Arial" w:eastAsia="Arial" w:hAnsi="Arial"/>
            <w:i/>
            <w:iCs/>
            <w:color w:val="1D4ED8"/>
            <w:sz w:val="24"/>
            <w:szCs w:val="24"/>
            <w:u w:val="single"/>
          </w:rPr>
          <w:t xml:space="preserve">13 сентября 2017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При соответствии представленных документов требованиям настоящего Положения уполномоченный государственный орган по рынку ценных бумаг регистрирует проспект и выдает заявителю два экземпляра проспекта со штампом "Зарегистрировано" с указанием государственного регистрационного номера и даты регистрации.</w:t>
      </w:r>
    </w:p>
    <w:p>
      <w:pPr>
        <w:spacing w:after="120"/>
        <w:jc w:val="both"/>
      </w:pPr>
      <w:r>
        <w:rPr>
          <w:rFonts w:ascii="Arial" w:cs="Arial" w:eastAsia="Arial" w:hAnsi="Arial"/>
          <w:sz w:val="24"/>
          <w:szCs w:val="24"/>
        </w:rPr>
        <w:t xml:space="preserve">14. Данные о ценных бумагах иностранного эмитента, допущенных к обращению в Кыргызской Республике, включаются в реестр ценных бумаг иностранных эмитентов, допущенных к обращению в Кыргызской Республике (далее - реестр иностранных ценных бумаг), который ведется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15. Ведение реестра иностранных ценных бумаг осуществляется:</w:t>
      </w:r>
    </w:p>
    <w:p>
      <w:pPr>
        <w:spacing w:after="120"/>
        <w:jc w:val="both"/>
      </w:pPr>
      <w:r>
        <w:rPr>
          <w:rFonts w:ascii="Arial" w:cs="Arial" w:eastAsia="Arial" w:hAnsi="Arial"/>
          <w:sz w:val="24"/>
          <w:szCs w:val="24"/>
        </w:rPr>
        <w:t xml:space="preserve">1) на бумажной основе (в специальных журналах);</w:t>
      </w:r>
    </w:p>
    <w:p>
      <w:pPr>
        <w:spacing w:after="120"/>
        <w:jc w:val="both"/>
      </w:pPr>
      <w:r>
        <w:rPr>
          <w:rFonts w:ascii="Arial" w:cs="Arial" w:eastAsia="Arial" w:hAnsi="Arial"/>
          <w:sz w:val="24"/>
          <w:szCs w:val="24"/>
        </w:rPr>
        <w:t xml:space="preserve">2) на магнитных носителях в форме компьютерной записи.</w:t>
      </w:r>
    </w:p>
    <w:p>
      <w:pPr>
        <w:spacing w:after="120"/>
        <w:jc w:val="both"/>
      </w:pPr>
      <w:r>
        <w:rPr>
          <w:rFonts w:ascii="Arial" w:cs="Arial" w:eastAsia="Arial" w:hAnsi="Arial"/>
          <w:sz w:val="24"/>
          <w:szCs w:val="24"/>
        </w:rPr>
        <w:t xml:space="preserve">16. Реестр иностранных ценных бумаг содержит следующие сведения:</w:t>
      </w:r>
    </w:p>
    <w:p>
      <w:pPr>
        <w:spacing w:after="120"/>
        <w:jc w:val="both"/>
      </w:pPr>
      <w:r>
        <w:rPr>
          <w:rFonts w:ascii="Arial" w:cs="Arial" w:eastAsia="Arial" w:hAnsi="Arial"/>
          <w:sz w:val="24"/>
          <w:szCs w:val="24"/>
        </w:rPr>
        <w:t xml:space="preserve">- полное наименование эмитента;</w:t>
      </w:r>
    </w:p>
    <w:p>
      <w:pPr>
        <w:spacing w:after="120"/>
        <w:jc w:val="both"/>
      </w:pPr>
      <w:r>
        <w:rPr>
          <w:rFonts w:ascii="Arial" w:cs="Arial" w:eastAsia="Arial" w:hAnsi="Arial"/>
          <w:sz w:val="24"/>
          <w:szCs w:val="24"/>
        </w:rPr>
        <w:t xml:space="preserve">- государство, резидентом которого является эмитент;</w:t>
      </w:r>
    </w:p>
    <w:p>
      <w:pPr>
        <w:spacing w:after="120"/>
        <w:jc w:val="both"/>
      </w:pPr>
      <w:r>
        <w:rPr>
          <w:rFonts w:ascii="Arial" w:cs="Arial" w:eastAsia="Arial" w:hAnsi="Arial"/>
          <w:sz w:val="24"/>
          <w:szCs w:val="24"/>
        </w:rPr>
        <w:t xml:space="preserve">- организационно-правовая форма эмитента;</w:t>
      </w:r>
    </w:p>
    <w:p>
      <w:pPr>
        <w:spacing w:after="120"/>
        <w:jc w:val="both"/>
      </w:pPr>
      <w:r>
        <w:rPr>
          <w:rFonts w:ascii="Arial" w:cs="Arial" w:eastAsia="Arial" w:hAnsi="Arial"/>
          <w:sz w:val="24"/>
          <w:szCs w:val="24"/>
        </w:rPr>
        <w:t xml:space="preserve">- юридический адрес эмитента;</w:t>
      </w:r>
    </w:p>
    <w:p>
      <w:pPr>
        <w:spacing w:after="120"/>
        <w:jc w:val="both"/>
      </w:pPr>
      <w:r>
        <w:rPr>
          <w:rFonts w:ascii="Arial" w:cs="Arial" w:eastAsia="Arial" w:hAnsi="Arial"/>
          <w:sz w:val="24"/>
          <w:szCs w:val="24"/>
        </w:rPr>
        <w:t xml:space="preserve">- дата регистрации эмитента в качестве юридического лица и наименование регистрирующего органа;</w:t>
      </w:r>
    </w:p>
    <w:p>
      <w:pPr>
        <w:spacing w:after="120"/>
        <w:jc w:val="both"/>
      </w:pPr>
      <w:r>
        <w:rPr>
          <w:rFonts w:ascii="Arial" w:cs="Arial" w:eastAsia="Arial" w:hAnsi="Arial"/>
          <w:sz w:val="24"/>
          <w:szCs w:val="24"/>
        </w:rPr>
        <w:t xml:space="preserve">- вид ценных бумаг, допущенных к обращению (размещению) в Кыргызской Республике, и их количество;</w:t>
      </w:r>
    </w:p>
    <w:p>
      <w:pPr>
        <w:spacing w:after="120"/>
        <w:jc w:val="both"/>
      </w:pPr>
      <w:r>
        <w:rPr>
          <w:rFonts w:ascii="Arial" w:cs="Arial" w:eastAsia="Arial" w:hAnsi="Arial"/>
          <w:sz w:val="24"/>
          <w:szCs w:val="24"/>
        </w:rPr>
        <w:t xml:space="preserve">- вид обращения ценных бумаг (размещение, обращение на вторичном рынке);</w:t>
      </w:r>
    </w:p>
    <w:p>
      <w:pPr>
        <w:spacing w:after="120"/>
        <w:jc w:val="both"/>
      </w:pPr>
      <w:r>
        <w:rPr>
          <w:rFonts w:ascii="Arial" w:cs="Arial" w:eastAsia="Arial" w:hAnsi="Arial"/>
          <w:sz w:val="24"/>
          <w:szCs w:val="24"/>
        </w:rPr>
        <w:t xml:space="preserve">- срок обращения ценных бумаг;</w:t>
      </w:r>
    </w:p>
    <w:p>
      <w:pPr>
        <w:spacing w:after="120"/>
        <w:jc w:val="both"/>
      </w:pPr>
      <w:r>
        <w:rPr>
          <w:rFonts w:ascii="Arial" w:cs="Arial" w:eastAsia="Arial" w:hAnsi="Arial"/>
          <w:sz w:val="24"/>
          <w:szCs w:val="24"/>
        </w:rPr>
        <w:t xml:space="preserve">- размер уставного капитала эмитента;</w:t>
      </w:r>
    </w:p>
    <w:p>
      <w:pPr>
        <w:spacing w:after="120"/>
        <w:jc w:val="both"/>
      </w:pPr>
      <w:r>
        <w:rPr>
          <w:rFonts w:ascii="Arial" w:cs="Arial" w:eastAsia="Arial" w:hAnsi="Arial"/>
          <w:sz w:val="24"/>
          <w:szCs w:val="24"/>
        </w:rPr>
        <w:t xml:space="preserve">- цена размещения (номинальная стоимость) ценных бумаг (при размещении);</w:t>
      </w:r>
    </w:p>
    <w:p>
      <w:pPr>
        <w:spacing w:after="120"/>
        <w:jc w:val="both"/>
      </w:pPr>
      <w:r>
        <w:rPr>
          <w:rFonts w:ascii="Arial" w:cs="Arial" w:eastAsia="Arial" w:hAnsi="Arial"/>
          <w:sz w:val="24"/>
          <w:szCs w:val="24"/>
        </w:rPr>
        <w:t xml:space="preserve">- дата регистрации проспекта, государственный регистрационный номер, присвоенный уполномоченным государственным органом по рынку ценных бумаг проспекту.</w:t>
      </w:r>
    </w:p>
    <w:p>
      <w:pPr>
        <w:spacing w:after="120"/>
        <w:jc w:val="both"/>
      </w:pPr>
      <w:r>
        <w:rPr>
          <w:rFonts w:ascii="Arial" w:cs="Arial" w:eastAsia="Arial" w:hAnsi="Arial"/>
          <w:sz w:val="24"/>
          <w:szCs w:val="24"/>
        </w:rPr>
        <w:t xml:space="preserve">17. Внесение записей и изменений в реестр иностранных ценных бумаг осуществляется на основании документов, подтверждающих допуск к обращению (размещению) или прекращение обращения (размещения) ценных бумаг иностранного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Отказ на допуск ценных бумаг к публичному предложению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Отказ в допуске к публичному предложению ценных бумаг иностранного эмитента уполномоченным государственным органом по рынку ценных бумаг принимается в случаях:</w:t>
      </w:r>
    </w:p>
    <w:p>
      <w:pPr>
        <w:spacing w:after="120"/>
        <w:jc w:val="both"/>
      </w:pPr>
      <w:r>
        <w:rPr>
          <w:rFonts w:ascii="Arial" w:cs="Arial" w:eastAsia="Arial" w:hAnsi="Arial"/>
          <w:sz w:val="24"/>
          <w:szCs w:val="24"/>
        </w:rPr>
        <w:t xml:space="preserve">1) представления в уполномоченный государственный орган по рынку ценных бумаг не всех документов, предусмотренных настоящим Положением;</w:t>
      </w:r>
    </w:p>
    <w:p>
      <w:pPr>
        <w:spacing w:after="120"/>
        <w:jc w:val="both"/>
      </w:pPr>
      <w:r>
        <w:rPr>
          <w:rFonts w:ascii="Arial" w:cs="Arial" w:eastAsia="Arial" w:hAnsi="Arial"/>
          <w:sz w:val="24"/>
          <w:szCs w:val="24"/>
        </w:rPr>
        <w:t xml:space="preserve">2) несоответствия эмитента и/или ценных бумаг, предполагаемых к публичному предложению ценных бумаг иностранного эмитента, требованиям, установленным настоящим Положением;</w:t>
      </w:r>
    </w:p>
    <w:p>
      <w:pPr>
        <w:spacing w:after="120"/>
        <w:jc w:val="both"/>
      </w:pPr>
      <w:r>
        <w:rPr>
          <w:rFonts w:ascii="Arial" w:cs="Arial" w:eastAsia="Arial" w:hAnsi="Arial"/>
          <w:sz w:val="24"/>
          <w:szCs w:val="24"/>
        </w:rPr>
        <w:t xml:space="preserve">3) несоответствия сведений, содержащихся в представленных для прохождения процедуры допуска документах, требованиям настоящего Положения и законодательства Кыргызской Республики;</w:t>
      </w:r>
    </w:p>
    <w:p>
      <w:pPr>
        <w:spacing w:after="120"/>
        <w:jc w:val="both"/>
      </w:pPr>
      <w:r>
        <w:rPr>
          <w:rFonts w:ascii="Arial" w:cs="Arial" w:eastAsia="Arial" w:hAnsi="Arial"/>
          <w:sz w:val="24"/>
          <w:szCs w:val="24"/>
        </w:rPr>
        <w:t xml:space="preserve">4) если сведения, содержащиеся в представленных документах, содержат недостоверные, ложные сведения;</w:t>
      </w:r>
    </w:p>
    <w:p>
      <w:pPr>
        <w:spacing w:after="120"/>
        <w:jc w:val="both"/>
      </w:pPr>
      <w:r>
        <w:rPr>
          <w:rFonts w:ascii="Arial" w:cs="Arial" w:eastAsia="Arial" w:hAnsi="Arial"/>
          <w:sz w:val="24"/>
          <w:szCs w:val="24"/>
        </w:rPr>
        <w:t xml:space="preserve">5) если осуществление эмитентом публичного предложения ценных бумаг противоречит требованиям настоящего Положения, иных нормативных правовых актов Кыргызской Республики.</w:t>
      </w:r>
    </w:p>
    <w:p>
      <w:pPr>
        <w:spacing w:after="120"/>
        <w:jc w:val="both"/>
      </w:pPr>
      <w:r>
        <w:rPr>
          <w:rFonts w:ascii="Arial" w:cs="Arial" w:eastAsia="Arial" w:hAnsi="Arial"/>
          <w:sz w:val="24"/>
          <w:szCs w:val="24"/>
        </w:rPr>
        <w:t xml:space="preserve">19. Не допускается отказ на допуск ценных бумаг к публичному предложению ценных бумаг иностранного эмитента в Кыргызской Республике по иным, не указанным в настоящем Положении, причинам.</w:t>
      </w:r>
    </w:p>
    <w:p>
      <w:pPr>
        <w:spacing w:after="120"/>
        <w:jc w:val="both"/>
      </w:pPr>
      <w:r>
        <w:rPr>
          <w:rFonts w:ascii="Arial" w:cs="Arial" w:eastAsia="Arial" w:hAnsi="Arial"/>
          <w:sz w:val="24"/>
          <w:szCs w:val="24"/>
        </w:rPr>
        <w:t xml:space="preserve">20. Уведомление об отказе на допуск ценных бумаг к публичному предложению ценных бумаг иностранного эмитента с указанием причин отказа доводится до заявителя в письменной форме не позднее 3 дней с момента принятия такого решения.</w:t>
      </w:r>
    </w:p>
    <w:p>
      <w:pPr>
        <w:spacing w:after="120"/>
        <w:jc w:val="both"/>
      </w:pPr>
      <w:r>
        <w:rPr>
          <w:rFonts w:ascii="Arial" w:cs="Arial" w:eastAsia="Arial" w:hAnsi="Arial"/>
          <w:sz w:val="24"/>
          <w:szCs w:val="24"/>
        </w:rPr>
        <w:t xml:space="preserve">21. В случае отказа на допуск ценных бумаг иностранного эмитента к публичному предложению ценных бумаг уполномоченный государственный орган по рынку ценных бумаг возвращает все представленные документы заявителю.</w:t>
      </w:r>
    </w:p>
    <w:p>
      <w:pPr>
        <w:spacing w:after="120"/>
        <w:jc w:val="both"/>
      </w:pPr>
      <w:r>
        <w:rPr>
          <w:rFonts w:ascii="Arial" w:cs="Arial" w:eastAsia="Arial" w:hAnsi="Arial"/>
          <w:sz w:val="24"/>
          <w:szCs w:val="24"/>
        </w:rPr>
        <w:t xml:space="preserve">22. Если заявитель считает, что отказ в допуске ценных бумаг к публичному предложению ценных бумаг является необоснованным, он может обжаловать это решение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публичного предложения ценных бумаг иностранного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Публичное предложение ценных бумаг иностранного эмитента в Кыргызской Республике осуществляется по правилам и процедурам, установленным для ценных бумаг эмитентов Кыргызской Республики, с учетом особенностей, установленных настоящим Положением.</w:t>
      </w:r>
    </w:p>
    <w:p>
      <w:pPr>
        <w:spacing w:after="120"/>
        <w:jc w:val="both"/>
      </w:pPr>
      <w:r>
        <w:rPr>
          <w:rFonts w:ascii="Arial" w:cs="Arial" w:eastAsia="Arial" w:hAnsi="Arial"/>
          <w:sz w:val="24"/>
          <w:szCs w:val="24"/>
        </w:rPr>
        <w:t xml:space="preserve">24. Сделки с ценными бумагами иностранного эмитента осуществляются брокерами/дилерами через организатора торговли на рынке ценных бумаг.</w:t>
      </w:r>
    </w:p>
    <w:p>
      <w:pPr>
        <w:spacing w:after="120"/>
        <w:jc w:val="both"/>
      </w:pPr>
      <w:r>
        <w:rPr>
          <w:rFonts w:ascii="Arial" w:cs="Arial" w:eastAsia="Arial" w:hAnsi="Arial"/>
          <w:sz w:val="24"/>
          <w:szCs w:val="24"/>
        </w:rPr>
        <w:t xml:space="preserve">25. Учет прав владельцев ценных бумаг иностранного эмитента осуществляется профессиональным участником рынка ценных бумаг, имеющим лицензию на осуществление деятельности по ведению реестра владельцев ценных бумаг.</w:t>
      </w:r>
    </w:p>
    <w:p>
      <w:pPr>
        <w:spacing w:after="120"/>
        <w:jc w:val="both"/>
      </w:pPr>
      <w:r>
        <w:rPr>
          <w:rFonts w:ascii="Arial" w:cs="Arial" w:eastAsia="Arial" w:hAnsi="Arial"/>
          <w:sz w:val="24"/>
          <w:szCs w:val="24"/>
        </w:rPr>
        <w:t xml:space="preserve">Профессиональный участник рынка ценных бумаг, представляющий интересы иностранного эмитента, обязан обеспечить учет владельцев ценных бумаг и раскрытие информации об эмитенте и его ценных бумагах в соответствии с законодательством Кыргызской Республики.</w:t>
      </w:r>
    </w:p>
    <w:p>
      <w:pPr>
        <w:spacing w:after="120"/>
        <w:jc w:val="both"/>
      </w:pPr>
      <w:r>
        <w:rPr>
          <w:rFonts w:ascii="Arial" w:cs="Arial" w:eastAsia="Arial" w:hAnsi="Arial"/>
          <w:sz w:val="24"/>
          <w:szCs w:val="24"/>
        </w:rPr>
        <w:t xml:space="preserve">26. Профессиональные участники рынка ценных бумаг, осуществляющие сделки с ценными бумагами иностранного эмитента, обязаны раскрывать перед потенциальными приобретателями информацию о рисках, связанных с приобретением данных ценных бумаг, в том числе о рисках, связанных с ограниченными возможностями государственного органа, регулирующего рынок ценных бумаг, по контролю за деятельностью иностранного эмитента, а также о сложностях предъявления иска при невыполнении эмитентом обязательств по ценным бумагам.</w:t>
      </w:r>
    </w:p>
    <w:p>
      <w:pPr>
        <w:spacing w:after="120"/>
        <w:jc w:val="both"/>
      </w:pPr>
      <w:r>
        <w:rPr>
          <w:rFonts w:ascii="Arial" w:cs="Arial" w:eastAsia="Arial" w:hAnsi="Arial"/>
          <w:sz w:val="24"/>
          <w:szCs w:val="24"/>
        </w:rPr>
        <w:t xml:space="preserve">27. Профессиональные участники рынка ценных бумаг вправе заключать сделки с ценными бумагами иностранного эмитента только в случае подписания приобретателем ценной бумаги специального бланка ознакомления с рисками, содержащего информацию о рисках приобретения ценных бумаг иностранного эмитента (приложение).</w:t>
      </w:r>
    </w:p>
    <w:p>
      <w:pPr>
        <w:spacing w:after="120"/>
        <w:jc w:val="both"/>
      </w:pPr>
      <w:r>
        <w:rPr>
          <w:rFonts w:ascii="Arial" w:cs="Arial" w:eastAsia="Arial" w:hAnsi="Arial"/>
          <w:sz w:val="24"/>
          <w:szCs w:val="24"/>
        </w:rPr>
        <w:t xml:space="preserve">28. Если допуск ценных бумаг был осуществлен для предложения определенной категории инвесторов, тогда профессиональные участники рынка ценных бумаг вправе заключать сделку с ценными бумагами в интересах иных инвесторов только при условии подписания приобретателем специального бланка ознакомления с рисками, в котором отражено, что приобретатель ознакомлен с рисками приобретения данной ценной бумаги и не будет иметь претензий к государственным органам и профессиональным участникам рынка ценных бумаг Кыргызской Республики, в случае невыполнения эмитентом обязательств по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Раскрытие информации иностранным эмитентом, ценные бумаги которого допущены к публичному предложению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Иностранный эмитент, ценные бумаги которого допущены к публичному предложению ценных бумаг в Кыргызской Республике, обязан раскрывать информацию в форме:</w:t>
      </w:r>
    </w:p>
    <w:p>
      <w:pPr>
        <w:spacing w:after="120"/>
        <w:jc w:val="both"/>
      </w:pPr>
      <w:r>
        <w:rPr>
          <w:rFonts w:ascii="Arial" w:cs="Arial" w:eastAsia="Arial" w:hAnsi="Arial"/>
          <w:sz w:val="24"/>
          <w:szCs w:val="24"/>
        </w:rPr>
        <w:t xml:space="preserve">- ежеквартального, годового отчета в объеме, порядке и сроки, установленные для эмитентов Кыргызской Республики, осуществивших публичное предложение ценных бумаг;</w:t>
      </w:r>
    </w:p>
    <w:p>
      <w:pPr>
        <w:spacing w:after="120"/>
        <w:jc w:val="both"/>
      </w:pPr>
      <w:r>
        <w:rPr>
          <w:rFonts w:ascii="Arial" w:cs="Arial" w:eastAsia="Arial" w:hAnsi="Arial"/>
          <w:sz w:val="24"/>
          <w:szCs w:val="24"/>
        </w:rPr>
        <w:t xml:space="preserve">- сообщения о существенных фактах (событиях) в финансово-хозяйственной деятельности иностранного эмитента, изложенных в статье 31 Закона Кыргызской Республики "О рынке ценных бумаг", в объеме, порядке и сроки, установленные для эмитентов Кыргызской Республики, осуществивших публичное предложение ценных бумаг;</w:t>
      </w:r>
    </w:p>
    <w:p>
      <w:pPr>
        <w:spacing w:after="120"/>
        <w:jc w:val="both"/>
      </w:pPr>
      <w:r>
        <w:rPr>
          <w:rFonts w:ascii="Arial" w:cs="Arial" w:eastAsia="Arial" w:hAnsi="Arial"/>
          <w:sz w:val="24"/>
          <w:szCs w:val="24"/>
        </w:rPr>
        <w:t xml:space="preserve">- публикации годовой финансовой отчетности в объеме, порядке и сроки, установленные для эмитентов Кыргызской Республики, осуществивших публичное предложение ценных бумаг.</w:t>
      </w:r>
    </w:p>
    <w:p>
      <w:pPr>
        <w:spacing w:after="120"/>
        <w:jc w:val="both"/>
      </w:pPr>
      <w:r>
        <w:rPr>
          <w:rFonts w:ascii="Arial" w:cs="Arial" w:eastAsia="Arial" w:hAnsi="Arial"/>
          <w:sz w:val="24"/>
          <w:szCs w:val="24"/>
        </w:rPr>
        <w:t xml:space="preserve">30. Помимо информации, указанной в пункте 29 настоящего Положения, иностранный эмитент, ценные бумаги которого допущены к публичному предложению ценных бумаг в Кыргызской Республике, дополнительно обязан раскрывать следующую информацию:</w:t>
      </w:r>
    </w:p>
    <w:p>
      <w:pPr>
        <w:spacing w:after="120"/>
        <w:jc w:val="both"/>
      </w:pPr>
      <w:r>
        <w:rPr>
          <w:rFonts w:ascii="Arial" w:cs="Arial" w:eastAsia="Arial" w:hAnsi="Arial"/>
          <w:sz w:val="24"/>
          <w:szCs w:val="24"/>
        </w:rPr>
        <w:t xml:space="preserve">- об изменении законодательства, экономической, политической ситуации в стране, резидентом которой является иностранный эмитент, если указанные изменения могут отразиться на правах владельцев ценных бумаг или существенно повлиять на стоимость ценных бумаг иностранного эмитента;</w:t>
      </w:r>
    </w:p>
    <w:p>
      <w:pPr>
        <w:spacing w:after="120"/>
        <w:jc w:val="both"/>
      </w:pPr>
      <w:r>
        <w:rPr>
          <w:rFonts w:ascii="Arial" w:cs="Arial" w:eastAsia="Arial" w:hAnsi="Arial"/>
          <w:sz w:val="24"/>
          <w:szCs w:val="24"/>
        </w:rPr>
        <w:t xml:space="preserve">- о разовых изменениях рыночной цены ценных бумаг данного вида на 10 и более процентов в ходе торговли на биржах за пределами Кыргызской Республики;</w:t>
      </w:r>
    </w:p>
    <w:p>
      <w:pPr>
        <w:spacing w:after="120"/>
        <w:jc w:val="both"/>
      </w:pPr>
      <w:r>
        <w:rPr>
          <w:rFonts w:ascii="Arial" w:cs="Arial" w:eastAsia="Arial" w:hAnsi="Arial"/>
          <w:sz w:val="24"/>
          <w:szCs w:val="24"/>
        </w:rPr>
        <w:t xml:space="preserve">- о среднемесячной рыночной цене ценных бумаг данного вида, сложившейся в ходе торговли на биржах за пределами Кыргызской Республики;</w:t>
      </w:r>
    </w:p>
    <w:p>
      <w:pPr>
        <w:spacing w:after="120"/>
        <w:jc w:val="both"/>
      </w:pPr>
      <w:r>
        <w:rPr>
          <w:rFonts w:ascii="Arial" w:cs="Arial" w:eastAsia="Arial" w:hAnsi="Arial"/>
          <w:sz w:val="24"/>
          <w:szCs w:val="24"/>
        </w:rPr>
        <w:t xml:space="preserve">- об изменении профессионального участника рынка ценных бумаг, представляющего интересы иностранного эмитента в Кыргызской Республике.</w:t>
      </w:r>
    </w:p>
    <w:p>
      <w:pPr>
        <w:spacing w:after="120"/>
        <w:jc w:val="both"/>
      </w:pPr>
      <w:r>
        <w:rPr>
          <w:rFonts w:ascii="Arial" w:cs="Arial" w:eastAsia="Arial" w:hAnsi="Arial"/>
          <w:sz w:val="24"/>
          <w:szCs w:val="24"/>
        </w:rPr>
        <w:t xml:space="preserve">Раскрытие информации, указанной в настоящем пункте, осуществляется в порядке и сроки, установленные нормативными правовыми актами Кыргызской Республики для раскрытия информации о существенных фактах (событиях) в финансово-хозяйственной деятельности эмитента.</w:t>
      </w:r>
    </w:p>
    <w:p>
      <w:pPr>
        <w:spacing w:after="120"/>
        <w:jc w:val="both"/>
      </w:pPr>
      <w:r>
        <w:rPr>
          <w:rFonts w:ascii="Arial" w:cs="Arial" w:eastAsia="Arial" w:hAnsi="Arial"/>
          <w:sz w:val="24"/>
          <w:szCs w:val="24"/>
        </w:rPr>
        <w:t xml:space="preserve">31. В случае, если осуществлен допуск ценных бумаг к публичному предложению на территории Кыргызской Республики, иностранный эмитент (профессиональный участник рынка ценных бумаг, представляющий интересы иностранного эмитента) публикует в средствах массовой информации сообщение о допуске ценных бумаг к публичному предложению с указанием:</w:t>
      </w:r>
    </w:p>
    <w:p>
      <w:pPr>
        <w:spacing w:after="120"/>
        <w:jc w:val="both"/>
      </w:pPr>
      <w:r>
        <w:rPr>
          <w:rFonts w:ascii="Arial" w:cs="Arial" w:eastAsia="Arial" w:hAnsi="Arial"/>
          <w:sz w:val="24"/>
          <w:szCs w:val="24"/>
        </w:rPr>
        <w:t xml:space="preserve">- полного наименования, юридического адреса эмитента;</w:t>
      </w:r>
    </w:p>
    <w:p>
      <w:pPr>
        <w:spacing w:after="120"/>
        <w:jc w:val="both"/>
      </w:pPr>
      <w:r>
        <w:rPr>
          <w:rFonts w:ascii="Arial" w:cs="Arial" w:eastAsia="Arial" w:hAnsi="Arial"/>
          <w:sz w:val="24"/>
          <w:szCs w:val="24"/>
        </w:rPr>
        <w:t xml:space="preserve">- основного вида деятельности эмитента;</w:t>
      </w:r>
    </w:p>
    <w:p>
      <w:pPr>
        <w:spacing w:after="120"/>
        <w:jc w:val="both"/>
      </w:pPr>
      <w:r>
        <w:rPr>
          <w:rFonts w:ascii="Arial" w:cs="Arial" w:eastAsia="Arial" w:hAnsi="Arial"/>
          <w:sz w:val="24"/>
          <w:szCs w:val="24"/>
        </w:rPr>
        <w:t xml:space="preserve">- вида ценных бумаг, количества ценных бумаг, допущенных к публичному предложению ценных бумаг в Кыргызской Республике;</w:t>
      </w:r>
    </w:p>
    <w:p>
      <w:pPr>
        <w:spacing w:after="120"/>
        <w:jc w:val="both"/>
      </w:pPr>
      <w:r>
        <w:rPr>
          <w:rFonts w:ascii="Arial" w:cs="Arial" w:eastAsia="Arial" w:hAnsi="Arial"/>
          <w:sz w:val="24"/>
          <w:szCs w:val="24"/>
        </w:rPr>
        <w:t xml:space="preserve">- срока, на который допущены ценные бумаги к публичному предложению;</w:t>
      </w:r>
    </w:p>
    <w:p>
      <w:pPr>
        <w:spacing w:after="120"/>
        <w:jc w:val="both"/>
      </w:pPr>
      <w:r>
        <w:rPr>
          <w:rFonts w:ascii="Arial" w:cs="Arial" w:eastAsia="Arial" w:hAnsi="Arial"/>
          <w:sz w:val="24"/>
          <w:szCs w:val="24"/>
        </w:rPr>
        <w:t xml:space="preserve">- наименования и местонахождения профессионального участника рынка ценных бумаг, представляющего интересы иностранного эмитента;</w:t>
      </w:r>
    </w:p>
    <w:p>
      <w:pPr>
        <w:spacing w:after="120"/>
        <w:jc w:val="both"/>
      </w:pPr>
      <w:r>
        <w:rPr>
          <w:rFonts w:ascii="Arial" w:cs="Arial" w:eastAsia="Arial" w:hAnsi="Arial"/>
          <w:sz w:val="24"/>
          <w:szCs w:val="24"/>
        </w:rPr>
        <w:t xml:space="preserve">- места, где потенциальные инвесторы могут ознакомиться с проспектом и иной информацией об эмитенте и его ценных бумагах.</w:t>
      </w:r>
    </w:p>
    <w:p>
      <w:pPr>
        <w:spacing w:after="120"/>
        <w:jc w:val="both"/>
      </w:pPr>
      <w:r>
        <w:rPr>
          <w:rFonts w:ascii="Arial" w:cs="Arial" w:eastAsia="Arial" w:hAnsi="Arial"/>
          <w:sz w:val="24"/>
          <w:szCs w:val="24"/>
        </w:rPr>
        <w:t xml:space="preserve">32. Иностранный эмитент (профессиональный участник рынка ценных бумаг, представляющий интересы иностранного эмитента) обязан обеспечить доступность информации об эмитенте, в том числе проспекта для любого заинтересованного лица.</w:t>
      </w:r>
    </w:p>
    <w:p>
      <w:pPr>
        <w:spacing w:after="120"/>
        <w:jc w:val="both"/>
      </w:pPr>
      <w:r>
        <w:rPr>
          <w:rFonts w:ascii="Arial" w:cs="Arial" w:eastAsia="Arial" w:hAnsi="Arial"/>
          <w:sz w:val="24"/>
          <w:szCs w:val="24"/>
        </w:rPr>
        <w:t xml:space="preserve">33. Реклама ценных бумаг иностранных эмитентов в средствах массовой информации, до регистрации уполномоченным государственным органом по рынку ценных бумаг проспекта публично предлагаемых ценных бумаг, запрещается.</w:t>
      </w:r>
    </w:p>
    <w:p>
      <w:pPr>
        <w:spacing w:after="120"/>
        <w:jc w:val="both"/>
      </w:pPr>
      <w:r>
        <w:rPr>
          <w:rFonts w:ascii="Arial" w:cs="Arial" w:eastAsia="Arial" w:hAnsi="Arial"/>
          <w:sz w:val="24"/>
          <w:szCs w:val="24"/>
        </w:rPr>
        <w:t xml:space="preserve">34. Организация раскрытия информации иностранным эмитентом в Кыргызской Республике осуществляется профессиональным участником рынка ценных бумаг, представляющим интересы иностранного эмитента, в соответствии с договором. Профессиональный участник рынка ценных бумаг, представляющий интересы иностранного эмитента, не несет ответственность за содержание раскрываемой иностранным эмитентом информации.</w:t>
      </w:r>
    </w:p>
    <w:p>
      <w:pPr>
        <w:spacing w:after="120"/>
        <w:jc w:val="both"/>
      </w:pPr>
      <w:r>
        <w:rPr>
          <w:rFonts w:ascii="Arial" w:cs="Arial" w:eastAsia="Arial" w:hAnsi="Arial"/>
          <w:sz w:val="24"/>
          <w:szCs w:val="24"/>
        </w:rPr>
        <w:t xml:space="preserve">В случае, если профессиональный участник рынка ценных бумаг, представляющий интересы иностранного эмитента, по каким-либо обстоятельствам не имеет возможность осуществить действия по раскрытию информации об иностранном эмитенте и/или его ценных бумагах в соответствии с требованиями нормативных правовых актов Кыргызской Республики, он обязан не позднее 5 рабочих дней с момента возникновения таких обстоятельств уведомить об этом уполномоченный государственный орган по рынку ценных бумаг.</w:t>
      </w:r>
    </w:p>
    <w:p>
      <w:pPr>
        <w:spacing w:after="120"/>
        <w:jc w:val="both"/>
      </w:pPr>
      <w:r>
        <w:rPr>
          <w:rFonts w:ascii="Arial" w:cs="Arial" w:eastAsia="Arial" w:hAnsi="Arial"/>
          <w:sz w:val="24"/>
          <w:szCs w:val="24"/>
        </w:rPr>
        <w:t xml:space="preserve">35. Уполномоченный государственный орган по рынку ценных бумаг не позднее 1 рабочего дня с момента получения уведомления о невозможности раскрытия информации об иностранном эмитенте и/или его ценных бумагах обязан приостановить публичное предложение ценных бумаг данного иностранного эмитента до выполнения им требований нормативных правовых актов Кыргызской Республики по раскрытию информации.</w:t>
      </w:r>
    </w:p>
    <w:p>
      <w:pPr>
        <w:spacing w:after="120"/>
        <w:jc w:val="both"/>
      </w:pPr>
      <w:r>
        <w:rPr>
          <w:rFonts w:ascii="Arial" w:cs="Arial" w:eastAsia="Arial" w:hAnsi="Arial"/>
          <w:sz w:val="24"/>
          <w:szCs w:val="24"/>
        </w:rPr>
        <w:t xml:space="preserve">36. Иностранный эмитент, ценные бумаги которого допущены к публичному предложению в Кыргызской Республике, представляет в уполномоченный государственный орган по рынку ценных бумаг отчетность в порядке, объеме и сроки, установленные для эмитентов Кыргызской Республики.</w:t>
      </w:r>
    </w:p>
    <w:p>
      <w:pPr>
        <w:spacing w:after="120"/>
        <w:jc w:val="both"/>
      </w:pPr>
      <w:r>
        <w:rPr>
          <w:rFonts w:ascii="Arial" w:cs="Arial" w:eastAsia="Arial" w:hAnsi="Arial"/>
          <w:sz w:val="24"/>
          <w:szCs w:val="24"/>
        </w:rPr>
        <w:t xml:space="preserve">37. Должностные лица, подписавшие отчетность и иную раскрываемую информацию иностранного эмитента, несут ответственность за достоверность содержащихся в них сведений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Приостановление и прекращение публичного предложения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Уполномоченный государственный орган по рынку ценных бумаг может принять решение о приостановлении публичного предложения ценных бумаг иностранного эмитента на срок до 30 дней в случаях:</w:t>
      </w:r>
    </w:p>
    <w:p>
      <w:pPr>
        <w:spacing w:after="120"/>
        <w:jc w:val="both"/>
      </w:pPr>
      <w:r>
        <w:rPr>
          <w:rFonts w:ascii="Arial" w:cs="Arial" w:eastAsia="Arial" w:hAnsi="Arial"/>
          <w:sz w:val="24"/>
          <w:szCs w:val="24"/>
        </w:rPr>
        <w:t xml:space="preserve">- нарушения эмитентом законодательства Кыргызской Республики, в том числе невыполнение требований нормативных правовых актов Кыргызской Республики по раскрытию информации;</w:t>
      </w:r>
    </w:p>
    <w:p>
      <w:pPr>
        <w:spacing w:after="120"/>
        <w:jc w:val="both"/>
      </w:pPr>
      <w:r>
        <w:rPr>
          <w:rFonts w:ascii="Arial" w:cs="Arial" w:eastAsia="Arial" w:hAnsi="Arial"/>
          <w:sz w:val="24"/>
          <w:szCs w:val="24"/>
        </w:rPr>
        <w:t xml:space="preserve">- возникновения подозрения, что в документах, на основании которых был осуществлен допуск ценных бумаг к публичному предложению, содержатся недостоверные, ложные сведения;</w:t>
      </w:r>
    </w:p>
    <w:p>
      <w:pPr>
        <w:spacing w:after="120"/>
        <w:jc w:val="both"/>
      </w:pPr>
      <w:r>
        <w:rPr>
          <w:rFonts w:ascii="Arial" w:cs="Arial" w:eastAsia="Arial" w:hAnsi="Arial"/>
          <w:sz w:val="24"/>
          <w:szCs w:val="24"/>
        </w:rPr>
        <w:t xml:space="preserve">- возникновения в ходе публичного предложения ценных бумаг новых условий, существенно затрагивающих интересы инвесторов и создающих угрозу реализации их прав по ценным бумагам;</w:t>
      </w:r>
    </w:p>
    <w:p>
      <w:pPr>
        <w:spacing w:after="120"/>
        <w:jc w:val="both"/>
      </w:pPr>
      <w:r>
        <w:rPr>
          <w:rFonts w:ascii="Arial" w:cs="Arial" w:eastAsia="Arial" w:hAnsi="Arial"/>
          <w:sz w:val="24"/>
          <w:szCs w:val="24"/>
        </w:rPr>
        <w:t xml:space="preserve">- предусмотренных в пункте 35 настоящего Положения.</w:t>
      </w:r>
    </w:p>
    <w:p>
      <w:pPr>
        <w:spacing w:after="120"/>
        <w:jc w:val="both"/>
      </w:pPr>
      <w:r>
        <w:rPr>
          <w:rFonts w:ascii="Arial" w:cs="Arial" w:eastAsia="Arial" w:hAnsi="Arial"/>
          <w:sz w:val="24"/>
          <w:szCs w:val="24"/>
        </w:rPr>
        <w:t xml:space="preserve">39. Решение о приостановлении публичного предложения ценных бумаг доводится до иностранного эмитента или его представителя не позднее 1 рабочего дня с момента принятия такого решения с указанием причин приостановления.</w:t>
      </w:r>
    </w:p>
    <w:p>
      <w:pPr>
        <w:spacing w:after="120"/>
        <w:jc w:val="both"/>
      </w:pPr>
      <w:r>
        <w:rPr>
          <w:rFonts w:ascii="Arial" w:cs="Arial" w:eastAsia="Arial" w:hAnsi="Arial"/>
          <w:sz w:val="24"/>
          <w:szCs w:val="24"/>
        </w:rPr>
        <w:t xml:space="preserve">40. В случае устранения иностранным эмитентом нарушений, указанных в уведомлении о приостановлении публичного предложения ценных бумаг, и представления информации об этом, уполномоченный государственный орган по рынку ценных бумаг не позднее 1 рабочего дня с момента представления такой информации принимает решение о возобновлении публичного предложения ценных бумаг.</w:t>
      </w:r>
    </w:p>
    <w:p>
      <w:pPr>
        <w:spacing w:after="120"/>
        <w:jc w:val="both"/>
      </w:pPr>
      <w:r>
        <w:rPr>
          <w:rFonts w:ascii="Arial" w:cs="Arial" w:eastAsia="Arial" w:hAnsi="Arial"/>
          <w:sz w:val="24"/>
          <w:szCs w:val="24"/>
        </w:rPr>
        <w:t xml:space="preserve">41. Уполномоченный государственный орган по рынку ценных бумаг может принять решение о прекращении публичного предложения ценных бумаг иностранного эмитента по заявлению самого иностранного эмитента или профессионального участника рынка ценных бумаг, представляющего интересы иностранного эмитента, а также в случаях:</w:t>
      </w:r>
    </w:p>
    <w:p>
      <w:pPr>
        <w:spacing w:after="120"/>
        <w:jc w:val="both"/>
      </w:pPr>
      <w:r>
        <w:rPr>
          <w:rFonts w:ascii="Arial" w:cs="Arial" w:eastAsia="Arial" w:hAnsi="Arial"/>
          <w:sz w:val="24"/>
          <w:szCs w:val="24"/>
        </w:rPr>
        <w:t xml:space="preserve">- окончания срока, на который были допущены ценные бумаги;</w:t>
      </w:r>
    </w:p>
    <w:p>
      <w:pPr>
        <w:spacing w:after="120"/>
        <w:jc w:val="both"/>
      </w:pPr>
      <w:r>
        <w:rPr>
          <w:rFonts w:ascii="Arial" w:cs="Arial" w:eastAsia="Arial" w:hAnsi="Arial"/>
          <w:sz w:val="24"/>
          <w:szCs w:val="24"/>
        </w:rPr>
        <w:t xml:space="preserve">- неоднократного нарушения иностранным эмитентом законодательства Кыргызской Республики;</w:t>
      </w:r>
    </w:p>
    <w:p>
      <w:pPr>
        <w:spacing w:after="120"/>
        <w:jc w:val="both"/>
      </w:pPr>
      <w:r>
        <w:rPr>
          <w:rFonts w:ascii="Arial" w:cs="Arial" w:eastAsia="Arial" w:hAnsi="Arial"/>
          <w:sz w:val="24"/>
          <w:szCs w:val="24"/>
        </w:rPr>
        <w:t xml:space="preserve">- неустранения нарушений, указанных в уведомлении о приостановлении публичного предложения ценных бумаг, в течение срока приостановления;</w:t>
      </w:r>
    </w:p>
    <w:p>
      <w:pPr>
        <w:spacing w:after="120"/>
        <w:jc w:val="both"/>
      </w:pPr>
      <w:r>
        <w:rPr>
          <w:rFonts w:ascii="Arial" w:cs="Arial" w:eastAsia="Arial" w:hAnsi="Arial"/>
          <w:sz w:val="24"/>
          <w:szCs w:val="24"/>
        </w:rPr>
        <w:t xml:space="preserve">- обнаружения в документах, на основании которых был осуществлен допуск ценных бумаг к публичному предложению, недостоверных, ложных сведений;</w:t>
      </w:r>
    </w:p>
    <w:p>
      <w:pPr>
        <w:spacing w:after="120"/>
        <w:jc w:val="both"/>
      </w:pPr>
      <w:r>
        <w:rPr>
          <w:rFonts w:ascii="Arial" w:cs="Arial" w:eastAsia="Arial" w:hAnsi="Arial"/>
          <w:sz w:val="24"/>
          <w:szCs w:val="24"/>
        </w:rPr>
        <w:t xml:space="preserve">- поступления в уполномоченный государственный орган по рынку ценных бумаг официальной информации из государственных органов страны, резидентом которой является эмитент, о нарушениях, допущенных эмитентом, которые могут отразиться на имущественных и неимущественных правах владельцев ценных бумаг эмитента.</w:t>
      </w:r>
    </w:p>
    <w:p>
      <w:pPr>
        <w:spacing w:after="120"/>
        <w:jc w:val="both"/>
      </w:pPr>
      <w:r>
        <w:rPr>
          <w:rFonts w:ascii="Arial" w:cs="Arial" w:eastAsia="Arial" w:hAnsi="Arial"/>
          <w:sz w:val="24"/>
          <w:szCs w:val="24"/>
        </w:rPr>
        <w:t xml:space="preserve">42. Решение о прекращении публичного предложения ценных бумаг доводится до эмитента или его представителя не позднее 1 рабочего дня с момента принятия решения, с указанием причин.</w:t>
      </w:r>
    </w:p>
    <w:p>
      <w:pPr>
        <w:spacing w:after="120"/>
        <w:jc w:val="both"/>
      </w:pPr>
      <w:r>
        <w:rPr>
          <w:rFonts w:ascii="Arial" w:cs="Arial" w:eastAsia="Arial" w:hAnsi="Arial"/>
          <w:sz w:val="24"/>
          <w:szCs w:val="24"/>
        </w:rPr>
        <w:t xml:space="preserve">43. При приостановлении или прекращении публичного предложения ценных бумаг иностранного эмитента запрещается осуществлять сделки с данными ценными бумагами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Требования к проспекту иностранного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Проспект иностранного эмитента должен содержать все сведения, предусмотренные нормативными правовыми актами Кыргызской Республики для проспекта ценных бумаг эмитентов Кыргызской Республики, за исключением данных, которые невозможно представить вследствие несоответствия законодательства страны, резидентом которой является иностранный эмитент, законодательству Кыргызской Республики.</w:t>
      </w:r>
    </w:p>
    <w:p>
      <w:pPr>
        <w:spacing w:after="120"/>
        <w:jc w:val="both"/>
      </w:pPr>
      <w:r>
        <w:rPr>
          <w:rFonts w:ascii="Arial" w:cs="Arial" w:eastAsia="Arial" w:hAnsi="Arial"/>
          <w:sz w:val="24"/>
          <w:szCs w:val="24"/>
        </w:rPr>
        <w:t xml:space="preserve">45. В случае, если к проспекту прилагается проспект или иной заменяющий его документ, зарегистрированный в регистрирующем органе страны, резидентом которой является эмитент, сведения, раскрытые в проспекте, зарегистрированном в стране эмитента, в проспекте, представленном для регистрации в уполномоченный государственный орган по рынку ценных бумаг, могут не указываться.</w:t>
      </w:r>
    </w:p>
    <w:p>
      <w:pPr>
        <w:spacing w:after="120"/>
        <w:jc w:val="both"/>
      </w:pPr>
      <w:r>
        <w:rPr>
          <w:rFonts w:ascii="Arial" w:cs="Arial" w:eastAsia="Arial" w:hAnsi="Arial"/>
          <w:sz w:val="24"/>
          <w:szCs w:val="24"/>
        </w:rPr>
        <w:t xml:space="preserve">46. Дополнительно проспект иностранного эмитента должен содержать следующие данные:</w:t>
      </w:r>
    </w:p>
    <w:p>
      <w:pPr>
        <w:spacing w:after="120"/>
        <w:jc w:val="both"/>
      </w:pPr>
      <w:r>
        <w:rPr>
          <w:rFonts w:ascii="Arial" w:cs="Arial" w:eastAsia="Arial" w:hAnsi="Arial"/>
          <w:sz w:val="24"/>
          <w:szCs w:val="24"/>
        </w:rPr>
        <w:t xml:space="preserve">- цели (причины) получения допуска ценных бумаг к публичному предложению ценных бумаг в Кыргызской Республике;</w:t>
      </w:r>
    </w:p>
    <w:p>
      <w:pPr>
        <w:spacing w:after="120"/>
        <w:jc w:val="both"/>
      </w:pPr>
      <w:r>
        <w:rPr>
          <w:rFonts w:ascii="Arial" w:cs="Arial" w:eastAsia="Arial" w:hAnsi="Arial"/>
          <w:sz w:val="24"/>
          <w:szCs w:val="24"/>
        </w:rPr>
        <w:t xml:space="preserve">- вид обращения (размещение, обращение на вторичном рынке);</w:t>
      </w:r>
    </w:p>
    <w:p>
      <w:pPr>
        <w:spacing w:after="120"/>
        <w:jc w:val="both"/>
      </w:pPr>
      <w:r>
        <w:rPr>
          <w:rFonts w:ascii="Arial" w:cs="Arial" w:eastAsia="Arial" w:hAnsi="Arial"/>
          <w:sz w:val="24"/>
          <w:szCs w:val="24"/>
        </w:rPr>
        <w:t xml:space="preserve">- порядок реализации прав владельцев ценных бумаг иностранного эмитента;</w:t>
      </w:r>
    </w:p>
    <w:p>
      <w:pPr>
        <w:spacing w:after="120"/>
        <w:jc w:val="both"/>
      </w:pPr>
      <w:r>
        <w:rPr>
          <w:rFonts w:ascii="Arial" w:cs="Arial" w:eastAsia="Arial" w:hAnsi="Arial"/>
          <w:sz w:val="24"/>
          <w:szCs w:val="24"/>
        </w:rPr>
        <w:t xml:space="preserve">- порядок рассмотрения споров, связанных с реализацией прав владельцами ценных бумаг и предъявлением исков к эмитенту при невыполнении им обязательств по ценным бумагам;</w:t>
      </w:r>
    </w:p>
    <w:p>
      <w:pPr>
        <w:spacing w:after="120"/>
        <w:jc w:val="both"/>
      </w:pPr>
      <w:r>
        <w:rPr>
          <w:rFonts w:ascii="Arial" w:cs="Arial" w:eastAsia="Arial" w:hAnsi="Arial"/>
          <w:sz w:val="24"/>
          <w:szCs w:val="24"/>
        </w:rPr>
        <w:t xml:space="preserve">- наименование профессионального участника рынка ценных бумаг, представляющего интересы иностранного эмитента в Кыргызской Республике, его полномочия и ответственность перед владельцами ценных бумаг;</w:t>
      </w:r>
    </w:p>
    <w:p>
      <w:pPr>
        <w:spacing w:after="120"/>
        <w:jc w:val="both"/>
      </w:pPr>
      <w:r>
        <w:rPr>
          <w:rFonts w:ascii="Arial" w:cs="Arial" w:eastAsia="Arial" w:hAnsi="Arial"/>
          <w:sz w:val="24"/>
          <w:szCs w:val="24"/>
        </w:rPr>
        <w:t xml:space="preserve">- риски, связанные с приобретением ценных бумаг иностранного эмитента;</w:t>
      </w:r>
    </w:p>
    <w:p>
      <w:pPr>
        <w:spacing w:after="120"/>
        <w:jc w:val="both"/>
      </w:pPr>
      <w:r>
        <w:rPr>
          <w:rFonts w:ascii="Arial" w:cs="Arial" w:eastAsia="Arial" w:hAnsi="Arial"/>
          <w:sz w:val="24"/>
          <w:szCs w:val="24"/>
        </w:rPr>
        <w:t xml:space="preserve">- меры, снижающие риски, связанные с владением ценных бумаг иностранного эмитента;</w:t>
      </w:r>
    </w:p>
    <w:p>
      <w:pPr>
        <w:spacing w:after="120"/>
        <w:jc w:val="both"/>
      </w:pPr>
      <w:r>
        <w:rPr>
          <w:rFonts w:ascii="Arial" w:cs="Arial" w:eastAsia="Arial" w:hAnsi="Arial"/>
          <w:sz w:val="24"/>
          <w:szCs w:val="24"/>
        </w:rPr>
        <w:t xml:space="preserve">- информация о кредитном рейтинге эмитента (если имеется);</w:t>
      </w:r>
    </w:p>
    <w:p>
      <w:pPr>
        <w:spacing w:after="120"/>
        <w:jc w:val="both"/>
      </w:pPr>
      <w:r>
        <w:rPr>
          <w:rFonts w:ascii="Arial" w:cs="Arial" w:eastAsia="Arial" w:hAnsi="Arial"/>
          <w:sz w:val="24"/>
          <w:szCs w:val="24"/>
        </w:rPr>
        <w:t xml:space="preserve">- информация об обращении ценных бумаг за пределами страны, резидентом которой является эмитент;</w:t>
      </w:r>
    </w:p>
    <w:p>
      <w:pPr>
        <w:spacing w:after="120"/>
        <w:jc w:val="both"/>
      </w:pPr>
      <w:r>
        <w:rPr>
          <w:rFonts w:ascii="Arial" w:cs="Arial" w:eastAsia="Arial" w:hAnsi="Arial"/>
          <w:sz w:val="24"/>
          <w:szCs w:val="24"/>
        </w:rPr>
        <w:t xml:space="preserve">- информация об организаторе торговли, на котором осуществлялись/осуществляются торги с ценными бумагами эмитента;</w:t>
      </w:r>
    </w:p>
    <w:p>
      <w:pPr>
        <w:spacing w:after="120"/>
        <w:jc w:val="both"/>
      </w:pPr>
      <w:r>
        <w:rPr>
          <w:rFonts w:ascii="Arial" w:cs="Arial" w:eastAsia="Arial" w:hAnsi="Arial"/>
          <w:sz w:val="24"/>
          <w:szCs w:val="24"/>
        </w:rPr>
        <w:t xml:space="preserve">- периодические печатные и электронные издания, где можно получить дополнительную информацию об эмитенте.</w:t>
      </w:r>
    </w:p>
    <w:p>
      <w:pPr>
        <w:spacing w:after="120"/>
        <w:jc w:val="both"/>
      </w:pPr>
      <w:r>
        <w:rPr>
          <w:rFonts w:ascii="Arial" w:cs="Arial" w:eastAsia="Arial" w:hAnsi="Arial"/>
          <w:sz w:val="24"/>
          <w:szCs w:val="24"/>
        </w:rPr>
        <w:t xml:space="preserve">47. Проспект иностранного эмитента подписывается должностным лицом эмитента, уполномоченным на такие действия, профессиональным участником рынка ценных бумаг, представляющим интересы иностранного эмитента в Кыргызской Республике, скрепляется печатями эмитента.</w:t>
      </w:r>
    </w:p>
    <w:p>
      <w:pPr>
        <w:spacing w:after="120"/>
        <w:jc w:val="both"/>
      </w:pPr>
      <w:r>
        <w:rPr>
          <w:rFonts w:ascii="Arial" w:cs="Arial" w:eastAsia="Arial" w:hAnsi="Arial"/>
          <w:sz w:val="24"/>
          <w:szCs w:val="24"/>
        </w:rPr>
        <w:t xml:space="preserve">48. Проспект составляется в трех экземплярах. Один экземпляр хранится в уполномоченном государственном органе по рынку ценных бумаг, второй - у эмитента, третий экземпляр передается на хранение регистратору, ведущему учет прав владельцев ценных бумаг эмитента.</w:t>
      </w:r>
    </w:p>
    <w:p>
      <w:pPr>
        <w:spacing w:after="120"/>
        <w:jc w:val="both"/>
      </w:pPr>
      <w:r>
        <w:rPr>
          <w:rFonts w:ascii="Arial" w:cs="Arial" w:eastAsia="Arial" w:hAnsi="Arial"/>
          <w:sz w:val="24"/>
          <w:szCs w:val="24"/>
        </w:rPr>
        <w:t xml:space="preserve">В случае расхождений в тексте экземпляров проспекта, истинным считается текст документа, хранящегося в уполномоченном государственном органе по рынку ценных бумаг.</w:t>
      </w:r>
    </w:p>
    <w:p>
      <w:pPr>
        <w:spacing w:after="120"/>
        <w:jc w:val="both"/>
      </w:pPr>
      <w:r>
        <w:rPr>
          <w:rFonts w:ascii="Arial" w:cs="Arial" w:eastAsia="Arial" w:hAnsi="Arial"/>
          <w:sz w:val="24"/>
          <w:szCs w:val="24"/>
        </w:rPr>
        <w:t xml:space="preserve">49. Иностранный эмитент (профессиональный участник рынка ценных бумаг, представляющий интересы иностранного эмитента) обязан обеспечить доступ к информации, содержащейся в проспекте.</w:t>
      </w:r>
    </w:p>
    <w:p>
      <w:pPr>
        <w:spacing w:after="120"/>
        <w:jc w:val="both"/>
      </w:pPr>
      <w:r>
        <w:rPr>
          <w:rFonts w:ascii="Arial" w:cs="Arial" w:eastAsia="Arial" w:hAnsi="Arial"/>
          <w:sz w:val="24"/>
          <w:szCs w:val="24"/>
        </w:rPr>
        <w:t xml:space="preserve">50. Порядок оформления проспекта иностранного эмитента, а также порядок внесения в него изменений и дополнений, такой же, как и для проспекта эмитентов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ознакомления с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связанные с приобретением ценных бумаг иностранного эмитента, обращающихся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Риски, связанные с реализацией прав по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Механизм предъявления иска к иностранному эмитенту владельцами его ценных бумаг, в случае неисполнения эмитентом обязательств перед владельцами ценных бумаг, сопряжен со значительными затратами.</w:t>
      </w:r>
    </w:p>
    <w:p>
      <w:pPr>
        <w:spacing w:after="120"/>
        <w:jc w:val="both"/>
      </w:pPr>
      <w:r>
        <w:rPr>
          <w:rFonts w:ascii="Arial" w:cs="Arial" w:eastAsia="Arial" w:hAnsi="Arial"/>
          <w:sz w:val="24"/>
          <w:szCs w:val="24"/>
        </w:rPr>
        <w:t xml:space="preserve">Другие риски (перечислить иные риски, связанные с приобретением ценных бумаг иностранного эмитента) __________________________________.</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подтверждаю, что ознакомился с рисками, связанными с приобретением ценных бумаг иностранного эмитента, и, владея полной информацией об этих рисках, самостоятельно принимаю решение о приобретении следующих ценных бумаг иностранного эмитента: вид ценной бумаги, эмитент, страна, где зарегистрирован эмитент, количество ценных бумаг ______________________ ______________________________________________________________________.</w:t>
      </w:r>
    </w:p>
    <w:p>
      <w:pPr>
        <w:spacing w:after="120"/>
        <w:jc w:val="both"/>
      </w:pPr>
      <w:r>
        <w:rPr>
          <w:rFonts w:ascii="Arial" w:cs="Arial" w:eastAsia="Arial" w:hAnsi="Arial"/>
          <w:sz w:val="24"/>
          <w:szCs w:val="24"/>
        </w:rPr>
        <w:t xml:space="preserve">В случае допуска ценных бумаг для определенной категории инвесторов:</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также информирован, что ценные бумаги допущены к публичному предложению ценных бумаг среди определенной категории инвесторов и мне рекомендовано их не приобретать. Я, сознавая риски, связанные с приобретением данных ценных бумаг, принимаю решение о приобретении их, и в случае невыполнения иностранным эмитентом обязательств по своим ценным бумагам не буду иметь претензий к уполномоченному государственному органу по рынку ценных бумаг, другим государственным органам Кыргызской Республики, профессиональным участникам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Приобретатель ценной бумаги 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z8smkv-dsjbwmurp_6ww">
      <w:r>
        <w:rPr>
          <w:rFonts w:ascii="Arial" w:cs="Arial" w:eastAsia="Arial" w:hAnsi="Arial"/>
          <w:color w:val="132D3F"/>
          <w:sz w:val="16"/>
          <w:szCs w:val="16"/>
          <w:u w:val="single"/>
        </w:rPr>
        <w:t xml:space="preserve">dalil.kg/document/95226</w:t>
      </w:r>
    </w:hyperlink>
  </w:p>
  <w:p>
    <w:pPr>
      <w:spacing w:after="0" w:before="40"/>
      <w:jc w:val="center"/>
    </w:pPr>
    <w:hyperlink w:history="1" r:id="rId1kbn-of499clmpwfiqk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4j4ygj0pdncpmmttb1ho" Type="http://schemas.openxmlformats.org/officeDocument/2006/relationships/hyperlink" Target="https://dalil.kg/document/95222" TargetMode="External"/><Relationship Id="rIde8iwgqle3lgulm_hfp_yk" Type="http://schemas.openxmlformats.org/officeDocument/2006/relationships/hyperlink" Target="https://dalil.kg/document/98965" TargetMode="External"/><Relationship Id="rIddmhr-kjpcbdx63-xcsjqt" Type="http://schemas.openxmlformats.org/officeDocument/2006/relationships/hyperlink" Target="https://dalil.kg/document/12919" TargetMode="External"/><Relationship Id="rIdnvtkkb-o3e--kafk-nvts" Type="http://schemas.openxmlformats.org/officeDocument/2006/relationships/hyperlink" Target="https://dalil.kg/document/4" TargetMode="External"/><Relationship Id="rIdn8j-dbyza6kbr9xilozrb" Type="http://schemas.openxmlformats.org/officeDocument/2006/relationships/hyperlink" Target="https://dalil.kg/document/1188" TargetMode="External"/><Relationship Id="rIdbl1h6jako-cqjaxmypor-" Type="http://schemas.openxmlformats.org/officeDocument/2006/relationships/hyperlink" Target="https://dalil.kg/document/12919" TargetMode="External"/><Relationship Id="rIdw_zpltsimyc0ifcw3p954" Type="http://schemas.openxmlformats.org/officeDocument/2006/relationships/hyperlink" Target="https://dalil.kg/document/12919" TargetMode="External"/><Relationship Id="rIdpvsfgy_zzwvmm6pjmxo54" Type="http://schemas.openxmlformats.org/officeDocument/2006/relationships/hyperlink" Target="https://dalil.kg/document/12919" TargetMode="External"/><Relationship Id="rId6gajvy_qfrv7ibm1obj7e" Type="http://schemas.openxmlformats.org/officeDocument/2006/relationships/hyperlink" Target="https://dalil.kg/document/12919" TargetMode="External"/><Relationship Id="rIdguz6z5qqtivedpkofo45o" Type="http://schemas.openxmlformats.org/officeDocument/2006/relationships/hyperlink" Target="https://dalil.kg/document/9896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z8smkv-dsjbwmurp_6ww" Type="http://schemas.openxmlformats.org/officeDocument/2006/relationships/hyperlink" Target="https://dalil.kg/document/95226" TargetMode="External"/><Relationship Id="rId1kbn-of499clmpwfiqk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2026-09-25T01:46:19.595Z</dcterms:created>
  <dcterms:modified xsi:type="dcterms:W3CDTF">2026-09-25T01:46:19.595Z</dcterms:modified>
</cp:coreProperties>
</file>

<file path=docProps/custom.xml><?xml version="1.0" encoding="utf-8"?>
<Properties xmlns="http://schemas.openxmlformats.org/officeDocument/2006/custom-properties" xmlns:vt="http://schemas.openxmlformats.org/officeDocument/2006/docPropsVTypes"/>
</file>