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p44mbsc9lv0ndz15nf-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2011 года №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определения платы за загрязнение окружающей среды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gb4zgxgzm4-46yj4w66u">
        <w:r>
          <w:rPr>
            <w:rFonts w:ascii="Arial" w:cs="Arial" w:eastAsia="Arial" w:hAnsi="Arial"/>
            <w:color w:val="1D4ED8"/>
            <w:sz w:val="24"/>
            <w:szCs w:val="24"/>
            <w:u w:val="single"/>
          </w:rPr>
          <w:t xml:space="preserve">18 июня 2014 года № 342</w:t>
        </w:r>
      </w:hyperlink>
      <w:r>
        <w:rPr>
          <w:rFonts w:ascii="Arial" w:cs="Arial" w:eastAsia="Arial" w:hAnsi="Arial"/>
          <w:sz w:val="24"/>
          <w:szCs w:val="24"/>
        </w:rPr>
        <w:t xml:space="preserve">, </w:t>
      </w:r>
      <w:hyperlink w:history="1" r:id="rIdkshal9rstq0juvrz1imxb">
        <w:r>
          <w:rPr>
            <w:rFonts w:ascii="Arial" w:cs="Arial" w:eastAsia="Arial" w:hAnsi="Arial"/>
            <w:color w:val="1D4ED8"/>
            <w:sz w:val="24"/>
            <w:szCs w:val="24"/>
            <w:u w:val="single"/>
          </w:rPr>
          <w:t xml:space="preserve">5 октября 2015 года № 684</w:t>
        </w:r>
      </w:hyperlink>
      <w:r>
        <w:rPr>
          <w:rFonts w:ascii="Arial" w:cs="Arial" w:eastAsia="Arial" w:hAnsi="Arial"/>
          <w:sz w:val="24"/>
          <w:szCs w:val="24"/>
        </w:rPr>
        <w:t xml:space="preserve">, </w:t>
      </w:r>
      <w:hyperlink w:history="1" r:id="rIdang8cx9zdd3pekrnk1sqq">
        <w:r>
          <w:rPr>
            <w:rFonts w:ascii="Arial" w:cs="Arial" w:eastAsia="Arial" w:hAnsi="Arial"/>
            <w:color w:val="1D4ED8"/>
            <w:sz w:val="24"/>
            <w:szCs w:val="24"/>
            <w:u w:val="single"/>
          </w:rPr>
          <w:t xml:space="preserve">22 января 2018 года № 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Методика определения платы за загрязнение окружающей среды в Кыргызской Республике (далее - Методика) разработана в соответствии с законами Кыргызской Республики "Об охране окружающей среды", "Общий технический регламент по обеспечению экологической безопасности в Кыргызской Республике" и "О ставке платы за загрязнение окружающей среды (выбросы, сбросы загрязняющих веществ, размещение отходов)".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lccyflvdb6duyyzsjed0">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Плата за загрязнение окружающей среды взимается с юридических и физических лиц независимо от организационно-правовых форм и форм собственности, на которых они основаны, включая совместные предприятия с участием иностранных юридических и физических лиц, которым предоставлено право ведения хозяйственной деятельности, которая влечет воздействие на окружающую среду, указанное в пункте 3 настоящей Методики (далее - хозяйствующий субъект), за исключением учреждений и организаций, финансируемых из республиканского или местного бюджетов, а также случаев, предусмотренных пунктами 13, 22, 31 настоящей Методики.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ofs9mr1aan4svmxuczyou">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Плата за загрязнение окружающей среды взимается за следующие виды воздействия на окружающую среду:</w:t>
      </w:r>
    </w:p>
    <w:p>
      <w:pPr>
        <w:spacing w:after="120"/>
        <w:jc w:val="both"/>
      </w:pPr>
      <w:r>
        <w:rPr>
          <w:rFonts w:ascii="Arial" w:cs="Arial" w:eastAsia="Arial" w:hAnsi="Arial"/>
          <w:sz w:val="24"/>
          <w:szCs w:val="24"/>
        </w:rPr>
        <w:t xml:space="preserve">- выбросы загрязняющих веществ в атмосферный воздух от стационарных и передвижных источников;</w:t>
      </w:r>
    </w:p>
    <w:p>
      <w:pPr>
        <w:spacing w:after="120"/>
        <w:jc w:val="both"/>
      </w:pPr>
      <w:r>
        <w:rPr>
          <w:rFonts w:ascii="Arial" w:cs="Arial" w:eastAsia="Arial" w:hAnsi="Arial"/>
          <w:sz w:val="24"/>
          <w:szCs w:val="24"/>
        </w:rPr>
        <w:t xml:space="preserve">- сбросы загрязняющих веществ со сточными водами (очищенными и не очищенными) в окружающую среду (водные объекты естественного и искусственного происхождения, поверхностные и подземные, коллекторно-дренажные системы, поля орошения, фильтрации и испарения; рельеф местности (балки, овраги, котлованы, сухие русла рек и т.п.);</w:t>
      </w:r>
    </w:p>
    <w:p>
      <w:pPr>
        <w:spacing w:after="120"/>
        <w:jc w:val="both"/>
      </w:pPr>
      <w:r>
        <w:rPr>
          <w:rFonts w:ascii="Arial" w:cs="Arial" w:eastAsia="Arial" w:hAnsi="Arial"/>
          <w:sz w:val="24"/>
          <w:szCs w:val="24"/>
        </w:rPr>
        <w:t xml:space="preserve">- размещение отходов и горных отвалов в окружающей среде, включая места (объекты), специально предназначенные и (или) обустроенные для складирования (хранения, захоронения) всех видов отходов.</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eipsv8j6cha6lsefxvksg">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elqnqmbv6yens_tcl1luv">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Корректировка размера платы за загрязнение окружающей среды (далее - плата за загрязнение) с учетом изменения уровня цен производится уполномоченным органом охраны окружающей среды. Коэффициенты индексации платы ежеквартально принимаются республиканским органом охраны окружающей среды и его территориальными органами по официальным данным Национального статистического комитета Кыргызской Республики. В </w:t>
      </w:r>
      <w:r>
        <w:rPr>
          <w:rFonts w:ascii="Arial" w:cs="Arial" w:eastAsia="Arial" w:hAnsi="Arial"/>
          <w:sz w:val="24"/>
          <w:szCs w:val="24"/>
        </w:rPr>
        <w:t xml:space="preserve">III </w:t>
      </w:r>
      <w:r>
        <w:rPr>
          <w:rFonts w:ascii="Arial" w:cs="Arial" w:eastAsia="Arial" w:hAnsi="Arial"/>
          <w:sz w:val="24"/>
          <w:szCs w:val="24"/>
        </w:rPr>
        <w:t xml:space="preserve">квартале 2015 года коэффициент индексации принят базовым и равным 1.</w:t>
      </w:r>
    </w:p>
    <w:p>
      <w:pPr>
        <w:spacing w:after="120"/>
        <w:ind w:firstLine="397"/>
        <w:jc w:val="both"/>
      </w:pPr>
      <w:r>
        <w:rPr>
          <w:rFonts w:ascii="Arial" w:cs="Arial" w:eastAsia="Arial" w:hAnsi="Arial"/>
          <w:sz w:val="24"/>
          <w:szCs w:val="24"/>
        </w:rPr>
        <w:t xml:space="preserve">(Абзац 2 утратил силу в соответствии с </w:t>
      </w:r>
      <w:hyperlink w:history="1" r:id="rIdn8avexzb4q_w4kjiyy6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Коэффициент индексации за определенный №-квартал по отношению к базовому году определяется умножением коэффициента индексации базового года на коэффициенты инфляции, следующих за базовым годом кварталов с 1 -го до №-го,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Кинд. баз. - коэффициент индексации базового года, принятый в </w:t>
      </w:r>
      <w:r>
        <w:rPr>
          <w:rFonts w:ascii="Arial" w:cs="Arial" w:eastAsia="Arial" w:hAnsi="Arial"/>
          <w:sz w:val="24"/>
          <w:szCs w:val="24"/>
        </w:rPr>
        <w:t xml:space="preserve">III </w:t>
      </w:r>
      <w:r>
        <w:rPr>
          <w:rFonts w:ascii="Arial" w:cs="Arial" w:eastAsia="Arial" w:hAnsi="Arial"/>
          <w:sz w:val="24"/>
          <w:szCs w:val="24"/>
        </w:rPr>
        <w:t xml:space="preserve">квартале 2015 года равным 1;</w:t>
      </w:r>
    </w:p>
    <w:p>
      <w:pPr>
        <w:spacing w:after="120"/>
        <w:jc w:val="both"/>
      </w:pPr>
      <w:r>
        <w:rPr>
          <w:rFonts w:ascii="Arial" w:cs="Arial" w:eastAsia="Arial" w:hAnsi="Arial"/>
          <w:sz w:val="24"/>
          <w:szCs w:val="24"/>
        </w:rPr>
        <w:t xml:space="preserve">коэффициент инфляции i-квартала, определяемый по данным показателя уровня инфляции (в %) Национального статистического комитета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org4ejy7zb3hb7hneewv">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kdjcyioo6vs6awmppzqql">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 случае, когда подразделения и филиалы предприятий расположены на отдельных от головных предприятий территориях, плату за загрязнение этими подразделениями и филиалами вносят головные предприятия. Платежи поступают в республиканский бюджет.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fy0duvfux1hz0xfprbdd">
        <w:r>
          <w:rPr>
            <w:rFonts w:ascii="Arial" w:cs="Arial" w:eastAsia="Arial" w:hAnsi="Arial"/>
            <w:i/>
            <w:iCs/>
            <w:color w:val="1D4ED8"/>
            <w:sz w:val="24"/>
            <w:szCs w:val="24"/>
            <w:u w:val="single"/>
          </w:rPr>
          <w:t xml:space="preserve">22 января 2018 года №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Исходные данные для расчета платежей хозяйствующие субъекты представляют ежеквартально в территориальные органы охраны окружающей среды до 15 числа месяца, следующего за отчетным кварталом.</w:t>
      </w:r>
    </w:p>
    <w:p>
      <w:pPr>
        <w:spacing w:after="120"/>
        <w:jc w:val="both"/>
      </w:pPr>
      <w:r>
        <w:rPr>
          <w:rFonts w:ascii="Arial" w:cs="Arial" w:eastAsia="Arial" w:hAnsi="Arial"/>
          <w:sz w:val="24"/>
          <w:szCs w:val="24"/>
        </w:rPr>
        <w:t xml:space="preserve">В отдельных случаях, при представлении хозяйствующим субъектом в территориальные органы охраны окружающей среды обоснований, периодичность представления исходных данных и внесения платежей сокращается до 1-2 раз в год. После представления хозяйствующим субъектом исходных данных для расчета платы, территориальными органами охраны окружающей среды в обязательном порядке представляется счет на оплату.</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nv9zh_a01ldem7kloxmw">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индексации платы - средневзвешенная величина изменения цен по отношению к рассматриваемому периоду базового года.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Коэффициент экологической ситуации К1 - величина, характеризующая усредненное значение превышения существующего загрязнения различных типов территорий, водных объектов. При его определении учитывались фоновое загрязнение территорий и водных объектов, прогнозные данные по их загрязнению, условия и характер рассеивания вредных примесей в атмосферном воздухе, показатели относительной опасности загрязнения атмосферного воздуха над территориями различных типов, плотность населения.</w:t>
      </w:r>
    </w:p>
    <w:p>
      <w:pPr>
        <w:spacing w:after="120"/>
        <w:jc w:val="both"/>
      </w:pPr>
      <w:r>
        <w:rPr>
          <w:rFonts w:ascii="Arial" w:cs="Arial" w:eastAsia="Arial" w:hAnsi="Arial"/>
          <w:sz w:val="24"/>
          <w:szCs w:val="24"/>
        </w:rPr>
        <w:t xml:space="preserve">Коэффициент экологической значимости К2 - условная величина, характеризующая ценность природных ресурсов по типам территорий и значимости водных объектов.</w:t>
      </w:r>
    </w:p>
    <w:p>
      <w:pPr>
        <w:spacing w:after="120"/>
        <w:jc w:val="both"/>
      </w:pPr>
      <w:r>
        <w:rPr>
          <w:rFonts w:ascii="Arial" w:cs="Arial" w:eastAsia="Arial" w:hAnsi="Arial"/>
          <w:sz w:val="24"/>
          <w:szCs w:val="24"/>
        </w:rPr>
        <w:t xml:space="preserve">Нормативы платы (Н) - произведение ставки платы от выбросов и сбросов загрязняющих веществ на показатели относительной опасности конкретного загрязняющего вредного вещества (А) для окружающей среды и здоровья населения.</w:t>
      </w:r>
    </w:p>
    <w:p>
      <w:pPr>
        <w:spacing w:after="120"/>
        <w:jc w:val="both"/>
      </w:pPr>
      <w:r>
        <w:rPr>
          <w:rFonts w:ascii="Arial" w:cs="Arial" w:eastAsia="Arial" w:hAnsi="Arial"/>
          <w:sz w:val="24"/>
          <w:szCs w:val="24"/>
        </w:rPr>
        <w:t xml:space="preserve">Плата за загрязнение окружающей среды - форма частичного возмещения ущерба окружающей среде, возникающего при осуществлении хозяйствующим субъектом хозяйственной и иной деятельности и негативном воздействии (загрязнения) на окружающую среду.</w:t>
      </w:r>
    </w:p>
    <w:p>
      <w:pPr>
        <w:spacing w:after="120"/>
        <w:jc w:val="both"/>
      </w:pPr>
      <w:r>
        <w:rPr>
          <w:rFonts w:ascii="Arial" w:cs="Arial" w:eastAsia="Arial" w:hAnsi="Arial"/>
          <w:sz w:val="24"/>
          <w:szCs w:val="24"/>
        </w:rPr>
        <w:t xml:space="preserve">Показатель относительной опасности веществ - величина, обратная значению предельно-допустимой концентрации загрязняющего вещества для атмосферного воздуха или воды водного объекта. Для отходов - величина, учитывающая класс токсичности (опасности) отходов.</w:t>
      </w:r>
    </w:p>
    <w:p>
      <w:pPr>
        <w:spacing w:after="120"/>
        <w:ind w:firstLine="397"/>
        <w:jc w:val="both"/>
      </w:pPr>
      <w:r>
        <w:rPr>
          <w:rFonts w:ascii="Arial" w:cs="Arial" w:eastAsia="Arial" w:hAnsi="Arial"/>
          <w:sz w:val="24"/>
          <w:szCs w:val="24"/>
        </w:rPr>
        <w:t xml:space="preserve">(Абзац 7 утратил силу в соответствии с </w:t>
      </w:r>
      <w:hyperlink w:history="1" r:id="rIdyfdflgh2hredqxs9jct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Приведенная тонна загрязняющих веществ - тонна i-го загрязняющего вещества с учетом его относительной опасности.</w:t>
      </w:r>
    </w:p>
    <w:p>
      <w:pPr>
        <w:spacing w:after="120"/>
        <w:ind w:firstLine="397"/>
        <w:jc w:val="both"/>
      </w:pPr>
      <w:r>
        <w:rPr>
          <w:rFonts w:ascii="Arial" w:cs="Arial" w:eastAsia="Arial" w:hAnsi="Arial"/>
          <w:sz w:val="24"/>
          <w:szCs w:val="24"/>
        </w:rPr>
        <w:t xml:space="preserve">(Абзац 9 утратил силу в соответствии с </w:t>
      </w:r>
      <w:hyperlink w:history="1" r:id="rIdr3jxebhw83jcqqzpyi0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Ставка платы за загрязнение окружающей среды за приведенную тонну - усредненная величина удельного экономического ущерба, возникающего от выбросов, сбросов загрязняющих веществ и размещения отходов в окружающей среде.</w:t>
      </w:r>
    </w:p>
    <w:p>
      <w:pPr>
        <w:spacing w:after="120"/>
        <w:jc w:val="both"/>
      </w:pPr>
      <w:r>
        <w:rPr>
          <w:rFonts w:ascii="Arial" w:cs="Arial" w:eastAsia="Arial" w:hAnsi="Arial"/>
          <w:sz w:val="24"/>
          <w:szCs w:val="24"/>
        </w:rPr>
        <w:t xml:space="preserve">Горюче-смазочные материалы (ГСМ) - нефтепродукты, к которым относятся различные виды горючего (бензин, дизельное топливо, сжиженный нефтяной газ, сжатый природный газ) и смазочные материалы.</w:t>
      </w:r>
    </w:p>
    <w:p>
      <w:pPr>
        <w:spacing w:after="120"/>
        <w:jc w:val="both"/>
      </w:pPr>
      <w:r>
        <w:rPr>
          <w:rFonts w:ascii="Arial" w:cs="Arial" w:eastAsia="Arial" w:hAnsi="Arial"/>
          <w:sz w:val="24"/>
          <w:szCs w:val="24"/>
        </w:rPr>
        <w:t xml:space="preserve">Передвижные источники выбросов загрязняющих веществ в атмосферный воздух - автомобильные, железнодорожные, воздушные, морские и речные транспортные средства, сельскохозяйственная, дорожная и строительная техника, и иные передвижные средства, оснащенные двигателями внутреннего сгорания, работающими на бензине, дизельном топливе, керосине, сжиженном и сжатом газе, бензогазовых и газодизельных смесях.</w:t>
      </w:r>
    </w:p>
    <w:p>
      <w:pPr>
        <w:spacing w:after="120"/>
        <w:jc w:val="both"/>
      </w:pPr>
      <w:r>
        <w:rPr>
          <w:rFonts w:ascii="Arial" w:cs="Arial" w:eastAsia="Arial" w:hAnsi="Arial"/>
          <w:sz w:val="24"/>
          <w:szCs w:val="24"/>
        </w:rPr>
        <w:t xml:space="preserve">Стационарные источники выбросов загрязняющих веществ в атмосферный воздух - любой (точечный, площадной и т.д.) источник с организованным или неорганизованным выбросом загрязняющих веществ в атмосферный воздух, дислоцируемый или функционирующий постоянно или временно в границах участка территории (местности) объекта, предприятия, юридического или физического лица, принадлежащий ему или закрепленный за ним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9t2xrfzd-3codwvuyvdsw">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определения размеров платы за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Размеры платы за загрязнение определяются на основании утвержденной ставки платы путем умножения норматива платы за выбросы, сбросы загрязняющих веществ и размещение отходов на коэффициенты экологической ситуации и экологической значимости по территориям, коэффициент индексации платы и фактическую массу загрязняющих веществ.</w:t>
      </w:r>
    </w:p>
    <w:p>
      <w:pPr>
        <w:spacing w:after="120"/>
        <w:jc w:val="both"/>
      </w:pPr>
      <w:r>
        <w:rPr>
          <w:rFonts w:ascii="Arial" w:cs="Arial" w:eastAsia="Arial" w:hAnsi="Arial"/>
          <w:sz w:val="24"/>
          <w:szCs w:val="24"/>
        </w:rPr>
        <w:t xml:space="preserve">8. Плата за загрязнение окружающей среды состоит из платы за выбросы загрязняющих веществ в атмосферный воздух от стационарных и передвижных источников, за сбросы загрязняющих веществ в окружающую среду со сточными водами и за размещение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 Пвыб.ст. + Пвыб.пер. + Псбр. + Потх.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Пвыб.ст - плата за выбросы загрязняющих веществ в атмосферный воздух от стационарных источников;</w:t>
      </w:r>
    </w:p>
    <w:p>
      <w:pPr>
        <w:spacing w:after="120"/>
        <w:jc w:val="both"/>
      </w:pPr>
      <w:r>
        <w:rPr>
          <w:rFonts w:ascii="Arial" w:cs="Arial" w:eastAsia="Arial" w:hAnsi="Arial"/>
          <w:sz w:val="24"/>
          <w:szCs w:val="24"/>
        </w:rPr>
        <w:t xml:space="preserve">- Пвыб.пер - плата за выбросы загрязняющих веществ в атмосферный воздух от передвижных источников;</w:t>
      </w:r>
    </w:p>
    <w:p>
      <w:pPr>
        <w:spacing w:after="120"/>
        <w:jc w:val="both"/>
      </w:pPr>
      <w:r>
        <w:rPr>
          <w:rFonts w:ascii="Arial" w:cs="Arial" w:eastAsia="Arial" w:hAnsi="Arial"/>
          <w:sz w:val="24"/>
          <w:szCs w:val="24"/>
        </w:rPr>
        <w:t xml:space="preserve">- Псбр. - плата за сбросы загрязняющих веществ в окружающую среду со сточными водами;</w:t>
      </w:r>
    </w:p>
    <w:p>
      <w:pPr>
        <w:spacing w:after="120"/>
        <w:jc w:val="both"/>
      </w:pPr>
      <w:r>
        <w:rPr>
          <w:rFonts w:ascii="Arial" w:cs="Arial" w:eastAsia="Arial" w:hAnsi="Arial"/>
          <w:sz w:val="24"/>
          <w:szCs w:val="24"/>
        </w:rPr>
        <w:t xml:space="preserve">- Потх. - плата за загрязнение окружающей среды размещением отходов.</w:t>
      </w:r>
    </w:p>
    <w:p>
      <w:pPr>
        <w:spacing w:after="120"/>
        <w:jc w:val="both"/>
      </w:pPr>
      <w:r>
        <w:rPr>
          <w:rFonts w:ascii="Arial" w:cs="Arial" w:eastAsia="Arial" w:hAnsi="Arial"/>
          <w:sz w:val="24"/>
          <w:szCs w:val="24"/>
        </w:rPr>
        <w:t xml:space="preserve">9. Плата за загрязнение окружающей среды определяется как сумма платы в пределах установленных лимитов (выбросов, сбросов, размещения отходов) и за сверхлимитное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 Пл + Псл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Пл - плата за загрязнение окружающей среды в пределах установленных лимитов;</w:t>
      </w:r>
    </w:p>
    <w:p>
      <w:pPr>
        <w:spacing w:after="120"/>
        <w:jc w:val="both"/>
      </w:pPr>
      <w:r>
        <w:rPr>
          <w:rFonts w:ascii="Arial" w:cs="Arial" w:eastAsia="Arial" w:hAnsi="Arial"/>
          <w:sz w:val="24"/>
          <w:szCs w:val="24"/>
        </w:rPr>
        <w:t xml:space="preserve">- Псл - плата за сверхлимитное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Расчет платы за выбросы загрязняющих веществ в атмосферу от стационарных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Плата за выбросы загрязняющих веществ в атмосферу в пределах лимита.</w:t>
      </w:r>
    </w:p>
    <w:p>
      <w:pPr>
        <w:spacing w:after="120"/>
        <w:jc w:val="both"/>
      </w:pPr>
      <w:r>
        <w:rPr>
          <w:rFonts w:ascii="Arial" w:cs="Arial" w:eastAsia="Arial" w:hAnsi="Arial"/>
          <w:sz w:val="24"/>
          <w:szCs w:val="24"/>
        </w:rPr>
        <w:t xml:space="preserve">Плата в пределах лимита производится при выполнении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Мi &lt;= Мiл,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выброса i-го загрязняющего вещества, поступающего в атмосферу, в тоннах, за отчетный период;</w:t>
      </w:r>
    </w:p>
    <w:p>
      <w:pPr>
        <w:spacing w:after="120"/>
        <w:jc w:val="both"/>
      </w:pPr>
      <w:r>
        <w:rPr>
          <w:rFonts w:ascii="Arial" w:cs="Arial" w:eastAsia="Arial" w:hAnsi="Arial"/>
          <w:sz w:val="24"/>
          <w:szCs w:val="24"/>
        </w:rPr>
        <w:t xml:space="preserve">- Мiл - лимитный (разрешенный) объем выброса i-го вещества, в тоннах, за отчетный период.</w:t>
      </w:r>
    </w:p>
    <w:p>
      <w:pPr>
        <w:spacing w:after="120"/>
        <w:jc w:val="both"/>
      </w:pPr>
      <w:r>
        <w:rPr>
          <w:rFonts w:ascii="Arial" w:cs="Arial" w:eastAsia="Arial" w:hAnsi="Arial"/>
          <w:sz w:val="24"/>
          <w:szCs w:val="24"/>
        </w:rPr>
        <w:t xml:space="preserve">Расчет платы в пределах лимита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выброса i-го загрязняющего вещества, поступающего в атмосферу, в тоннах, за отчетный период.</w:t>
      </w:r>
    </w:p>
    <w:p>
      <w:pPr>
        <w:spacing w:after="120"/>
        <w:jc w:val="both"/>
      </w:pPr>
      <w:r>
        <w:rPr>
          <w:rFonts w:ascii="Arial" w:cs="Arial" w:eastAsia="Arial" w:hAnsi="Arial"/>
          <w:sz w:val="24"/>
          <w:szCs w:val="24"/>
        </w:rPr>
        <w:t xml:space="preserve">- Hi - приведенный норматив платы за 1 тонну выброса i-го загрязняющего вещества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К1 х К2. Значения приведены в таблице 1 </w:t>
      </w:r>
      <w:hyperlink w:history="1" r:id="rIdohfu3loy60ga3f363c--z">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 - ставка платы (сом/приведенная тонна), 3,24 сом.;</w:t>
      </w:r>
    </w:p>
    <w:p>
      <w:pPr>
        <w:spacing w:after="120"/>
        <w:jc w:val="both"/>
      </w:pPr>
      <w:r>
        <w:rPr>
          <w:rFonts w:ascii="Arial" w:cs="Arial" w:eastAsia="Arial" w:hAnsi="Arial"/>
          <w:sz w:val="24"/>
          <w:szCs w:val="24"/>
        </w:rPr>
        <w:t xml:space="preserve">- Ai - показатель относительной опасности i-го загрязняющего вещества.</w:t>
      </w:r>
    </w:p>
    <w:p>
      <w:pPr>
        <w:spacing w:after="120"/>
        <w:jc w:val="both"/>
      </w:pPr>
      <w:r>
        <w:rPr>
          <w:rFonts w:ascii="Arial" w:cs="Arial" w:eastAsia="Arial" w:hAnsi="Arial"/>
          <w:sz w:val="24"/>
          <w:szCs w:val="24"/>
        </w:rPr>
        <w:t xml:space="preserve">Показатели относительной опасности загрязняющих веществ (Ai) рассчитываются на основе действующих в Кыргызской Республике санитарно-эпидемиологических правил и нормативов и гигиенических нормативов: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Аi = 1/ПДКi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наименование загрязняющего вещества;</w:t>
      </w:r>
    </w:p>
    <w:p>
      <w:pPr>
        <w:spacing w:after="120"/>
        <w:jc w:val="both"/>
      </w:pPr>
      <w:r>
        <w:rPr>
          <w:rFonts w:ascii="Arial" w:cs="Arial" w:eastAsia="Arial" w:hAnsi="Arial"/>
          <w:sz w:val="24"/>
          <w:szCs w:val="24"/>
        </w:rPr>
        <w:t xml:space="preserve">- ПДКi - среднесуточная предельно допустимая концентрация (ПДКсс) i-го загрязняющего вещества в атмосферном воздухе населенных мест, мг/куб.м. При отсутствии ПДКсс принимается предельно-допустимая максимально разовая концентрация (ПДКмр) i-го загрязняющего вещества в атмосферном воздухе населенных мест, мг/куб.м. При отсутствии ПДКмр принимается ориентировочный безопасный уровень воздействия (ОБУВ), мг/куб.м.</w:t>
      </w:r>
    </w:p>
    <w:p>
      <w:pPr>
        <w:spacing w:after="120"/>
        <w:jc w:val="both"/>
      </w:pPr>
      <w:r>
        <w:rPr>
          <w:rFonts w:ascii="Arial" w:cs="Arial" w:eastAsia="Arial" w:hAnsi="Arial"/>
          <w:sz w:val="24"/>
          <w:szCs w:val="24"/>
        </w:rPr>
        <w:t xml:space="preserve">При отсутствии данных о значениях ПДК и ОБУВ загрязняющих веществ необходимо обращаться в специально уполномоченный государственный орган по охране окружающей среды для их определения до начала производственной или хозяйственной деятельности.</w:t>
      </w:r>
    </w:p>
    <w:p>
      <w:pPr>
        <w:spacing w:after="120"/>
        <w:jc w:val="both"/>
      </w:pPr>
      <w:r>
        <w:rPr>
          <w:rFonts w:ascii="Arial" w:cs="Arial" w:eastAsia="Arial" w:hAnsi="Arial"/>
          <w:sz w:val="24"/>
          <w:szCs w:val="24"/>
        </w:rPr>
        <w:t xml:space="preserve">До принятия соответствующих гигиенических нормативов применяются нормативы, приведенные в таблице 2 </w:t>
      </w:r>
      <w:hyperlink w:history="1" r:id="rIdk1_hbt-csxzy7wi3y_ohz">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sguck40b7-vwjz4gx4_yy">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mh1vg_pmddvx80j0xf27d">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Плата за сверхлимитные выбросы.</w:t>
      </w:r>
    </w:p>
    <w:p>
      <w:pPr>
        <w:spacing w:after="120"/>
        <w:jc w:val="both"/>
      </w:pPr>
      <w:r>
        <w:rPr>
          <w:rFonts w:ascii="Arial" w:cs="Arial" w:eastAsia="Arial" w:hAnsi="Arial"/>
          <w:sz w:val="24"/>
          <w:szCs w:val="24"/>
        </w:rPr>
        <w:t xml:space="preserve">Плата за сверхлимитные выбросы производится при выполнении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Mi &gt; Мiл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плата в случае превышения лимита выбросов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Пвыб.ст.сум. = Пвыб.ст.л. + Пвыб.ст.сл.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Пвыб.ст.сум. - общая плата в случае превышения лимита выбросов загрязняющих веществ в атмосферный воздух;</w:t>
      </w:r>
    </w:p>
    <w:p>
      <w:pPr>
        <w:spacing w:after="120"/>
        <w:jc w:val="both"/>
      </w:pPr>
      <w:r>
        <w:rPr>
          <w:rFonts w:ascii="Arial" w:cs="Arial" w:eastAsia="Arial" w:hAnsi="Arial"/>
          <w:sz w:val="24"/>
          <w:szCs w:val="24"/>
        </w:rPr>
        <w:t xml:space="preserve">- Пвыб.ст.л. - плата за выбросы загрязняющих веществ в атмосферный воздух в пределах установленных лимитов;</w:t>
      </w:r>
    </w:p>
    <w:p>
      <w:pPr>
        <w:spacing w:after="120"/>
        <w:jc w:val="both"/>
      </w:pPr>
      <w:r>
        <w:rPr>
          <w:rFonts w:ascii="Arial" w:cs="Arial" w:eastAsia="Arial" w:hAnsi="Arial"/>
          <w:sz w:val="24"/>
          <w:szCs w:val="24"/>
        </w:rPr>
        <w:t xml:space="preserve">- Пвыб.ст.сл. - плата за сверхлимитные выбросы загрязняющих веществ в атмосферный воздух.</w:t>
      </w:r>
    </w:p>
    <w:p>
      <w:pPr>
        <w:spacing w:after="120"/>
        <w:jc w:val="both"/>
      </w:pPr>
      <w:r>
        <w:rPr>
          <w:rFonts w:ascii="Arial" w:cs="Arial" w:eastAsia="Arial" w:hAnsi="Arial"/>
          <w:sz w:val="24"/>
          <w:szCs w:val="24"/>
        </w:rPr>
        <w:t xml:space="preserve">12. Плата при отсутствии разрешения на выбросы.</w:t>
      </w:r>
    </w:p>
    <w:p>
      <w:pPr>
        <w:spacing w:after="120"/>
        <w:jc w:val="both"/>
      </w:pPr>
      <w:r>
        <w:rPr>
          <w:rFonts w:ascii="Arial" w:cs="Arial" w:eastAsia="Arial" w:hAnsi="Arial"/>
          <w:sz w:val="24"/>
          <w:szCs w:val="24"/>
        </w:rPr>
        <w:t xml:space="preserve">При отсутствии разрешения на выбросы загрязняющих веществ в атмосферу плата за выбросы загрязняющих веществ определяется по формуле с использованием норматива платы с повышающим коэффициентом 2.</w:t>
      </w:r>
    </w:p>
    <w:p>
      <w:pPr>
        <w:spacing w:after="120"/>
        <w:jc w:val="both"/>
      </w:pPr>
      <w:r>
        <w:rPr>
          <w:rFonts w:ascii="Arial" w:cs="Arial" w:eastAsia="Arial" w:hAnsi="Arial"/>
          <w:sz w:val="24"/>
          <w:szCs w:val="24"/>
        </w:rPr>
        <w:t xml:space="preserve">13. Хозяйствующие субъекты, осуществляющие выбросы загрязняющих веществ в атмосферу, связанные с производством тепла и электрической энергии для нужд населения и организаций, финансируемых из бюджета, освобождаются от платы за объемы выбросов, вызванные выработкой тепловой и электрической энергии для указанных категорий потребителей, при условии соблюдения ими установленных допустимых нормативов выбросов загрязняющих веществ.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vooxkhtuwvzonsxaunzv">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Расчет платы за выбросы загрязняющих веществ в атмосферу от передвижных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Плата за загрязнение атмосферного воздуха от передвижных источников взимается:</w:t>
      </w:r>
    </w:p>
    <w:p>
      <w:pPr>
        <w:spacing w:after="120"/>
        <w:jc w:val="both"/>
      </w:pPr>
      <w:r>
        <w:rPr>
          <w:rFonts w:ascii="Arial" w:cs="Arial" w:eastAsia="Arial" w:hAnsi="Arial"/>
          <w:sz w:val="24"/>
          <w:szCs w:val="24"/>
        </w:rPr>
        <w:t xml:space="preserve">- с хозяйствующих субъектов, занимающихся ввозом топлива в республику и производством ГСМ, вне зависимости от ведомственной принадлежности и формы собственности.</w:t>
      </w:r>
    </w:p>
    <w:p>
      <w:pPr>
        <w:spacing w:after="120"/>
        <w:jc w:val="both"/>
      </w:pPr>
      <w:r>
        <w:rPr>
          <w:rFonts w:ascii="Arial" w:cs="Arial" w:eastAsia="Arial" w:hAnsi="Arial"/>
          <w:sz w:val="24"/>
          <w:szCs w:val="24"/>
        </w:rPr>
        <w:t xml:space="preserve">15. Расчет платы за выбросы загрязняющих веществ от передвижных источников (автомобильного, железнодорожного, воздушного и водного транспорта, сельскохозяйственной, дорожной и строительной техники).</w:t>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Ti - количество использованного передвежными источниками и/или реализованного сторонним потребителям топлива за отчетный период (т);</w:t>
      </w:r>
    </w:p>
    <w:p>
      <w:pPr>
        <w:spacing w:after="120"/>
        <w:jc w:val="both"/>
      </w:pPr>
      <w:r>
        <w:rPr>
          <w:rFonts w:ascii="Arial" w:cs="Arial" w:eastAsia="Arial" w:hAnsi="Arial"/>
          <w:sz w:val="24"/>
          <w:szCs w:val="24"/>
        </w:rPr>
        <w:t xml:space="preserve">- Hi - приведенный норматив платы за выбросы загрязняющих веществ, образующихся при использовании 1 тонны i-го вида топлива (сом/т или сом/тыс. куб.м газа); значения нормативов платы приведены в таблице 3 </w:t>
      </w:r>
      <w:hyperlink w:history="1" r:id="rIdvl3iuizddb9uybr7mvn1a">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sz w:val="24"/>
          <w:szCs w:val="24"/>
        </w:rPr>
        <w:t xml:space="preserve">- Ti - количество i-го вида топлива, использованного передвижными источниками и (или) реализованного сторонним потребителям за отчетный период (т);</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коэффициент экологической ситуации и экологической значимости территорий для передвижных источников Кэ = К1 х К2; значения приведены в таблице 1 </w:t>
      </w:r>
      <w:hyperlink w:history="1" r:id="rIdbi6z88ch3qwxyv8raljih">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wg1dm8-t4psqjxvfuopuw">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mlkun3cbgimcfvukmyy_c">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(Утратил силу в соответствии с </w:t>
      </w:r>
      <w:hyperlink w:history="1" r:id="rId6iz-jltfldi7dfhsn6o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Расчет платы за сбросы загрязняющих веществ в окружающую среду со сточными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 сброс хозяйственно-бытовых и приравненных к ним производственных стоков в окружающую среду оплату производят хозяйствующие субъекты, принимающие на очистку указанные стоки и сбрасывающие их в окружающую среду.</w:t>
      </w:r>
    </w:p>
    <w:p>
      <w:pPr>
        <w:spacing w:after="120"/>
        <w:jc w:val="both"/>
      </w:pPr>
      <w:r>
        <w:rPr>
          <w:rFonts w:ascii="Arial" w:cs="Arial" w:eastAsia="Arial" w:hAnsi="Arial"/>
          <w:sz w:val="24"/>
          <w:szCs w:val="24"/>
        </w:rPr>
        <w:t xml:space="preserve">При сбросе в централизованную городскую (сельскую) канализацию производственных сточных вод, за сбросы загрязняющих веществ, очистка которых не производится принимающей стороной, плата за загрязнение осуществляется непосредственно хозяйствующими субъектами.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csitdas6iigsipiwlz_u">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Плата за сбросы загрязняющих веществ в окружающую среду со сточными водами в пределах лимита.</w:t>
      </w:r>
    </w:p>
    <w:p>
      <w:pPr>
        <w:spacing w:after="120"/>
        <w:jc w:val="both"/>
      </w:pPr>
      <w:r>
        <w:rPr>
          <w:rFonts w:ascii="Arial" w:cs="Arial" w:eastAsia="Arial" w:hAnsi="Arial"/>
          <w:sz w:val="24"/>
          <w:szCs w:val="24"/>
        </w:rPr>
        <w:t xml:space="preserve">Плата за сбросы в пределах лимита производится при выполнении условия Mi &lt;= Miл,</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сброса i-го загрязняющего вещества, в тоннах за отчетный период;</w:t>
      </w:r>
    </w:p>
    <w:p>
      <w:pPr>
        <w:spacing w:after="120"/>
        <w:jc w:val="both"/>
      </w:pPr>
      <w:r>
        <w:rPr>
          <w:rFonts w:ascii="Arial" w:cs="Arial" w:eastAsia="Arial" w:hAnsi="Arial"/>
          <w:sz w:val="24"/>
          <w:szCs w:val="24"/>
        </w:rPr>
        <w:t xml:space="preserve">- Мiл - лимитный (разрешенный) объем сброса i-го вещества в тоннах за отчетный период.</w:t>
      </w:r>
    </w:p>
    <w:p>
      <w:pPr>
        <w:spacing w:after="120"/>
        <w:jc w:val="both"/>
      </w:pPr>
      <w:r>
        <w:rPr>
          <w:rFonts w:ascii="Arial" w:cs="Arial" w:eastAsia="Arial" w:hAnsi="Arial"/>
          <w:sz w:val="24"/>
          <w:szCs w:val="24"/>
        </w:rPr>
        <w:t xml:space="preserve">Расчет платы за сбросы в пределах лимита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вид загрязняющего вещества (i = 1, 2, ..., №);</w:t>
      </w:r>
    </w:p>
    <w:p>
      <w:pPr>
        <w:spacing w:after="120"/>
        <w:jc w:val="both"/>
      </w:pPr>
      <w:r>
        <w:rPr>
          <w:rFonts w:ascii="Arial" w:cs="Arial" w:eastAsia="Arial" w:hAnsi="Arial"/>
          <w:sz w:val="24"/>
          <w:szCs w:val="24"/>
        </w:rPr>
        <w:t xml:space="preserve">- Mi - фактический объем сброса i-го загрязняющего вещества (т);</w:t>
      </w:r>
    </w:p>
    <w:p>
      <w:pPr>
        <w:spacing w:after="120"/>
        <w:jc w:val="both"/>
      </w:pPr>
      <w:r>
        <w:rPr>
          <w:rFonts w:ascii="Arial" w:cs="Arial" w:eastAsia="Arial" w:hAnsi="Arial"/>
          <w:sz w:val="24"/>
          <w:szCs w:val="24"/>
        </w:rPr>
        <w:t xml:space="preserve">- Hi - приведенный норматив платы за сброс 1 тонны i-го загрязняющего вещества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K1 х К2. Значения приведены в таблице 6 </w:t>
      </w:r>
      <w:hyperlink w:history="1" r:id="rId-zoe3iual-zdwifiqrzyd">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sz w:val="24"/>
          <w:szCs w:val="24"/>
        </w:rPr>
        <w:t xml:space="preserve">- Р - ставка платы (сом/приведенная тонна), 10,5 сом.;</w:t>
      </w:r>
    </w:p>
    <w:p>
      <w:pPr>
        <w:spacing w:after="120"/>
        <w:jc w:val="both"/>
      </w:pPr>
      <w:r>
        <w:rPr>
          <w:rFonts w:ascii="Arial" w:cs="Arial" w:eastAsia="Arial" w:hAnsi="Arial"/>
          <w:sz w:val="24"/>
          <w:szCs w:val="24"/>
        </w:rPr>
        <w:t xml:space="preserve">- Ai - показатель относительной опасности, рассчитывается на основе действующих в Кыргызской Республике санитарно-эпидемиологических правил и нормативов и гигиенических нормативов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Аi = 1/ПДКi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наименование загрязняющего вещества;</w:t>
      </w:r>
    </w:p>
    <w:p>
      <w:pPr>
        <w:spacing w:after="120"/>
        <w:jc w:val="both"/>
      </w:pPr>
      <w:r>
        <w:rPr>
          <w:rFonts w:ascii="Arial" w:cs="Arial" w:eastAsia="Arial" w:hAnsi="Arial"/>
          <w:sz w:val="24"/>
          <w:szCs w:val="24"/>
        </w:rPr>
        <w:t xml:space="preserve">- ПДКi - предельно допустимая концентрация вредных веществ в воде водных объектов рыбохозяйственного водопользования (ПДКрх). При отсутствии ПДКрх принимается предельно-допустимая концентрация вещества в воде водных объектов хозяйственно-питьевого и культурно-бытового водопользования (ПДКхп). При отсутствии (ПДКхп) принимаются ориентировочные допустимые уровни (ОДУ) химических веществ в воде водных объектов хозяйственно-питьевого и культурно-бытового водопользования (ОДУхп).</w:t>
      </w:r>
    </w:p>
    <w:p>
      <w:pPr>
        <w:spacing w:after="120"/>
        <w:jc w:val="both"/>
      </w:pPr>
      <w:r>
        <w:rPr>
          <w:rFonts w:ascii="Arial" w:cs="Arial" w:eastAsia="Arial" w:hAnsi="Arial"/>
          <w:sz w:val="24"/>
          <w:szCs w:val="24"/>
        </w:rPr>
        <w:t xml:space="preserve">При отсутствии данных о значениях ПДК и ОДУ необходимо обращаться в специально уполномоченный государственный орган по охране окружающей среды.</w:t>
      </w:r>
    </w:p>
    <w:p>
      <w:pPr>
        <w:spacing w:after="120"/>
        <w:jc w:val="both"/>
      </w:pPr>
      <w:r>
        <w:rPr>
          <w:rFonts w:ascii="Arial" w:cs="Arial" w:eastAsia="Arial" w:hAnsi="Arial"/>
          <w:sz w:val="24"/>
          <w:szCs w:val="24"/>
        </w:rPr>
        <w:t xml:space="preserve">До принятия соответствующих гигиенических нормативов применяются нормативы, приведенные в таблице 5 </w:t>
      </w:r>
      <w:hyperlink w:history="1" r:id="rIdeia49afcvjzneo7jgoz68">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xqatnuvb2eir_zm3xydxv">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kokea3se42eqxe_gyc3fc">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Плата за сверхлимитный сброс.</w:t>
      </w:r>
    </w:p>
    <w:p>
      <w:pPr>
        <w:spacing w:after="120"/>
        <w:jc w:val="both"/>
      </w:pPr>
      <w:r>
        <w:rPr>
          <w:rFonts w:ascii="Arial" w:cs="Arial" w:eastAsia="Arial" w:hAnsi="Arial"/>
          <w:sz w:val="24"/>
          <w:szCs w:val="24"/>
        </w:rPr>
        <w:t xml:space="preserve">Плата за сверхлимитные сбросы производится при выполнении условия Mi &gt; Мiл.</w:t>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плата за сбросы загрязняющих веществ в окружающую среду со сточными водами в случае превышения лимита сбросов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Псб.сум. = Псб.л. + Псб.сл.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31yvvovxx7dg1pkxhnlr">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При отсутствии разрешения за сбросы загрязняющих веществ в окружающую среду плата за сбросы загрязняющих веществ определяется по формуле с использованием норматива платы с повышающим коэффициентом 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dwmdjzthzqtkgvmrtolz">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Плата за сброс сточных вод на поля фильтрации, земледельческие поля орошения, рельеф местности, коллекторно-дренажные сети, в сухие русла рек, саи взимается в пределах установленных лимитов при соблюдении хозяйствующим субъектом правил эксплуатации, установленных норм нагрузки, проектных показателей очистки сточных вод. При нарушении правил эксплуатации, норм нагрузки, иных нарушениях, вызвавших загрязнение подземных вод, платежи взимаются как за сверхлимитный сброс.</w:t>
      </w:r>
    </w:p>
    <w:p>
      <w:pPr>
        <w:spacing w:after="120"/>
        <w:jc w:val="both"/>
      </w:pPr>
      <w:r>
        <w:rPr>
          <w:rFonts w:ascii="Arial" w:cs="Arial" w:eastAsia="Arial" w:hAnsi="Arial"/>
          <w:sz w:val="24"/>
          <w:szCs w:val="24"/>
        </w:rPr>
        <w:t xml:space="preserve">В случае сброса загрязняющих веществ на рельеф местности без соответствующего разрешения платежи взимаются как за сверхлимитное загрязнение.</w:t>
      </w:r>
    </w:p>
    <w:p>
      <w:pPr>
        <w:spacing w:after="120"/>
        <w:jc w:val="both"/>
      </w:pPr>
      <w:r>
        <w:rPr>
          <w:rFonts w:ascii="Arial" w:cs="Arial" w:eastAsia="Arial" w:hAnsi="Arial"/>
          <w:sz w:val="24"/>
          <w:szCs w:val="24"/>
        </w:rPr>
        <w:t xml:space="preserve">22. Хозяйствующие субъекты, осуществляющие сброс в окружающую среду загрязняющих веществ со сточными водами хозяйственно-бытового происхождения от населения и объектов, финансируемых из бюджета, освобождаются от платы за данный сброс, при условии соблюдения ими установленных нормативов качества сточных вод.</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3_p2md7xuhojjlenmqrv">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Расчет платы за размещение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Оплате подлежат все виды отходов, размещаемых в окружающей среде, включая места (объекты), специально предназначенные и (или) обустроенные для складирования (хранения, захоронения) данных видов отходов.</w:t>
      </w:r>
    </w:p>
    <w:p>
      <w:pPr>
        <w:spacing w:after="120"/>
        <w:jc w:val="both"/>
      </w:pPr>
      <w:r>
        <w:rPr>
          <w:rFonts w:ascii="Arial" w:cs="Arial" w:eastAsia="Arial" w:hAnsi="Arial"/>
          <w:sz w:val="24"/>
          <w:szCs w:val="24"/>
        </w:rPr>
        <w:t xml:space="preserve">При определении вида (номенклатуры) отхода, класса опасности отхода необходимо руководствоваться Классификатором опасных отходов и Методическими рекомендациями по определению класса опасности отходов, утвержденными </w:t>
      </w:r>
      <w:hyperlink w:history="1" r:id="rIdrrustjqpyaawsawu8fn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120"/>
        <w:jc w:val="both"/>
      </w:pPr>
      <w:r>
        <w:rPr>
          <w:rFonts w:ascii="Arial" w:cs="Arial" w:eastAsia="Arial" w:hAnsi="Arial"/>
          <w:sz w:val="24"/>
          <w:szCs w:val="24"/>
        </w:rPr>
        <w:t xml:space="preserve">24. Плату за размещение отходов производит хозяйствующий субъект, в процессе деятельности которого образуются отходы, не вовлеченные им во вторичное использование и требующие размещения в окружающей среде, включая места (объекты), специально предназначенные и (или) обустроенные для складирования (хранения, захоронения) данных видов отходов. При передаче отходов на переработку плата не взимается.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u18bg6e1jp3a8sifw537">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Плата за размещение отходов в пределах лимита.</w:t>
      </w:r>
    </w:p>
    <w:p>
      <w:pPr>
        <w:spacing w:after="120"/>
        <w:jc w:val="both"/>
      </w:pPr>
      <w:r>
        <w:rPr>
          <w:rFonts w:ascii="Arial" w:cs="Arial" w:eastAsia="Arial" w:hAnsi="Arial"/>
          <w:sz w:val="24"/>
          <w:szCs w:val="24"/>
        </w:rPr>
        <w:t xml:space="preserve">Плата в пределах лимита производится при выполнении условия</w:t>
      </w:r>
    </w:p>
    <w:p>
      <w:pPr>
        <w:spacing w:after="120"/>
        <w:jc w:val="both"/>
      </w:pPr>
      <w:r>
        <w:rPr>
          <w:rFonts w:ascii="Arial" w:cs="Arial" w:eastAsia="Arial" w:hAnsi="Arial"/>
          <w:sz w:val="24"/>
          <w:szCs w:val="24"/>
        </w:rPr>
        <w:t xml:space="preserve">Mi &lt;= Miл,</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образования i-го вида отходов, в тоннах, за отчетный период;</w:t>
      </w:r>
    </w:p>
    <w:p>
      <w:pPr>
        <w:spacing w:after="120"/>
        <w:jc w:val="both"/>
      </w:pPr>
      <w:r>
        <w:rPr>
          <w:rFonts w:ascii="Arial" w:cs="Arial" w:eastAsia="Arial" w:hAnsi="Arial"/>
          <w:sz w:val="24"/>
          <w:szCs w:val="24"/>
        </w:rPr>
        <w:t xml:space="preserve">- Miл - лимитный объем образования i-го вида отходов, в тоннах, за отчетный период.</w:t>
      </w:r>
    </w:p>
    <w:p>
      <w:pPr>
        <w:spacing w:after="120"/>
        <w:jc w:val="both"/>
      </w:pPr>
      <w:r>
        <w:rPr>
          <w:rFonts w:ascii="Arial" w:cs="Arial" w:eastAsia="Arial" w:hAnsi="Arial"/>
          <w:sz w:val="24"/>
          <w:szCs w:val="24"/>
        </w:rPr>
        <w:t xml:space="preserve">Лимитный объем образования отходов (Мiл) представляет собой предельное количество отходов, разрешенное для размещения и установленное для юридических или физических лиц специально уполномоченным государственным органом охраны окружающей среды на определенный срок.</w:t>
      </w:r>
    </w:p>
    <w:p>
      <w:pPr>
        <w:spacing w:after="120"/>
        <w:jc w:val="both"/>
      </w:pPr>
      <w:r>
        <w:rPr>
          <w:rFonts w:ascii="Arial" w:cs="Arial" w:eastAsia="Arial" w:hAnsi="Arial"/>
          <w:sz w:val="24"/>
          <w:szCs w:val="24"/>
        </w:rPr>
        <w:t xml:space="preserve">Лимитный объем образования отходов устанавливается исходя из нормативов образования и использования отходов на предприятии, норм расхода сырья и материалов, объема производимой продукции, характеристики места (объекта) размещения отходов в части экологических требований, его проектной и фактической емкости.</w:t>
      </w:r>
    </w:p>
    <w:p>
      <w:pPr>
        <w:spacing w:after="120"/>
        <w:jc w:val="both"/>
      </w:pPr>
      <w:r>
        <w:rPr>
          <w:rFonts w:ascii="Arial" w:cs="Arial" w:eastAsia="Arial" w:hAnsi="Arial"/>
          <w:sz w:val="24"/>
          <w:szCs w:val="24"/>
        </w:rPr>
        <w:t xml:space="preserve">Для организаций, в процессе деятельности которых образуются многотоннажные отходы (горнодобывающая промышленность), лимиты на размещение отходов устанавливаются в соответствии с проектом разработки месторождений и с учетом реализации мероприятий по восстановлению нарушенных земель.</w:t>
      </w:r>
    </w:p>
    <w:p>
      <w:pPr>
        <w:spacing w:after="120"/>
        <w:jc w:val="both"/>
      </w:pPr>
      <w:r>
        <w:rPr>
          <w:rFonts w:ascii="Arial" w:cs="Arial" w:eastAsia="Arial" w:hAnsi="Arial"/>
          <w:sz w:val="24"/>
          <w:szCs w:val="24"/>
        </w:rPr>
        <w:t xml:space="preserve">Расчет платы за размещение отходов в пределах установленных лимитов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вид отхода (i = 1, 2, 3, ..., №);</w:t>
      </w:r>
    </w:p>
    <w:p>
      <w:pPr>
        <w:spacing w:after="120"/>
        <w:jc w:val="both"/>
      </w:pPr>
      <w:r>
        <w:rPr>
          <w:rFonts w:ascii="Arial" w:cs="Arial" w:eastAsia="Arial" w:hAnsi="Arial"/>
          <w:sz w:val="24"/>
          <w:szCs w:val="24"/>
        </w:rPr>
        <w:t xml:space="preserve">- Hi - норматив платы за 1 тонну размещаемых отходов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K1 х К2. Значения приведены в таблицах 7 и 8 </w:t>
      </w:r>
      <w:hyperlink w:history="1" r:id="rIdh5t8vs6omsrz4h06wq2pu">
        <w:r>
          <w:rPr>
            <w:rFonts w:ascii="Arial" w:cs="Arial" w:eastAsia="Arial" w:hAnsi="Arial"/>
            <w:color w:val="1D4ED8"/>
            <w:sz w:val="24"/>
            <w:szCs w:val="24"/>
            <w:u w:val="single"/>
          </w:rPr>
          <w:t xml:space="preserve">приложения;</w:t>
        </w:r>
      </w:hyperlink>
    </w:p>
    <w:p>
      <w:pPr>
        <w:spacing w:after="120"/>
        <w:jc w:val="both"/>
      </w:pPr>
      <w:r>
        <w:rPr>
          <w:rFonts w:ascii="Arial" w:cs="Arial" w:eastAsia="Arial" w:hAnsi="Arial"/>
          <w:sz w:val="24"/>
          <w:szCs w:val="24"/>
        </w:rPr>
        <w:t xml:space="preserve">- Р - ставка платы (сом/приведенная тонна), 3,24 сом.;</w:t>
      </w:r>
    </w:p>
    <w:p>
      <w:pPr>
        <w:spacing w:after="120"/>
        <w:jc w:val="both"/>
      </w:pPr>
      <w:r>
        <w:rPr>
          <w:rFonts w:ascii="Arial" w:cs="Arial" w:eastAsia="Arial" w:hAnsi="Arial"/>
          <w:sz w:val="24"/>
          <w:szCs w:val="24"/>
        </w:rPr>
        <w:t xml:space="preserve">- Ai - показатель относительной опасности, определяется в зависимости от класса опасности отходов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 - класс опасности отходов, определяется в соответствии с Ме Ti</w:t>
      </w:r>
    </w:p>
    <w:p>
      <w:pPr>
        <w:spacing w:after="120"/>
        <w:jc w:val="both"/>
      </w:pPr>
      <w:r>
        <w:rPr>
          <w:rFonts w:ascii="Arial" w:cs="Arial" w:eastAsia="Arial" w:hAnsi="Arial"/>
          <w:sz w:val="24"/>
          <w:szCs w:val="24"/>
        </w:rPr>
        <w:t xml:space="preserve">тодическими рекомендациями по определению класса опасности отходов, утвержденными постановлением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 и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xew9ooqpdkc6prvqx-whp">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j9ql7hwjgmmf07olkbjj9">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Плата за размещение отходов сверх лимита.</w:t>
      </w:r>
    </w:p>
    <w:p>
      <w:pPr>
        <w:spacing w:after="120"/>
        <w:jc w:val="both"/>
      </w:pPr>
      <w:r>
        <w:rPr>
          <w:rFonts w:ascii="Arial" w:cs="Arial" w:eastAsia="Arial" w:hAnsi="Arial"/>
          <w:sz w:val="24"/>
          <w:szCs w:val="24"/>
        </w:rPr>
        <w:t xml:space="preserve">Плата за сверхлимитное размещение отходов производится при выполнении условия Mi &gt; Мiл.</w:t>
      </w:r>
    </w:p>
    <w:p>
      <w:pPr>
        <w:spacing w:after="120"/>
        <w:jc w:val="both"/>
      </w:pPr>
      <w:r>
        <w:rPr>
          <w:rFonts w:ascii="Arial" w:cs="Arial" w:eastAsia="Arial" w:hAnsi="Arial"/>
          <w:sz w:val="24"/>
          <w:szCs w:val="24"/>
        </w:rPr>
        <w:t xml:space="preserve">Расчет платы за сверхлимитное размещение отходов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 сверхлимитным объемам размещения отходов относятся: неиспользованные в установленные сроки объемы отходов; объемы отходов, образующихся сверх нормативов, установленных нормами расхода сырья и материалов на производство продукции, объемы образования некондиционной продукции, не предусмотренной технологическими регламентами и нормативами, а также объемы размещения отходов без оформленного в установленном порядке разрешения.</w:t>
      </w:r>
    </w:p>
    <w:p>
      <w:pPr>
        <w:spacing w:after="120"/>
        <w:jc w:val="both"/>
      </w:pPr>
      <w:r>
        <w:rPr>
          <w:rFonts w:ascii="Arial" w:cs="Arial" w:eastAsia="Arial" w:hAnsi="Arial"/>
          <w:sz w:val="24"/>
          <w:szCs w:val="24"/>
        </w:rPr>
        <w:t xml:space="preserve">При отсутствии у предприятия разрешения на размещение токсичных и производственных отходов плата за размещение отходов в окружающей среде взимается в двукратном размере.</w:t>
      </w:r>
    </w:p>
    <w:p>
      <w:pPr>
        <w:spacing w:after="120"/>
        <w:jc w:val="both"/>
      </w:pPr>
      <w:r>
        <w:rPr>
          <w:rFonts w:ascii="Arial" w:cs="Arial" w:eastAsia="Arial" w:hAnsi="Arial"/>
          <w:sz w:val="24"/>
          <w:szCs w:val="24"/>
        </w:rPr>
        <w:t xml:space="preserve">28. Общая плата за размещение отходов в окружающей среде в случае превышения лимита размещения отходов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Потх.сум = Потх.л. + Потх.сл.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Места (объекты) размещения отходов разделяются на постоянные и временные.</w:t>
      </w:r>
    </w:p>
    <w:p>
      <w:pPr>
        <w:spacing w:after="120"/>
        <w:jc w:val="both"/>
      </w:pPr>
      <w:r>
        <w:rPr>
          <w:rFonts w:ascii="Arial" w:cs="Arial" w:eastAsia="Arial" w:hAnsi="Arial"/>
          <w:sz w:val="24"/>
          <w:szCs w:val="24"/>
        </w:rPr>
        <w:t xml:space="preserve">К постоянным местам (объектам) размещения отходов относятся места (объекты), специально предназначенные и (или) обустроенные для складирования (хранения, захоронения) данных видов отходов.</w:t>
      </w:r>
    </w:p>
    <w:p>
      <w:pPr>
        <w:spacing w:after="120"/>
        <w:jc w:val="both"/>
      </w:pPr>
      <w:r>
        <w:rPr>
          <w:rFonts w:ascii="Arial" w:cs="Arial" w:eastAsia="Arial" w:hAnsi="Arial"/>
          <w:sz w:val="24"/>
          <w:szCs w:val="24"/>
        </w:rPr>
        <w:t xml:space="preserve">К временным местам (объектам) размещения отходов относятся места (объекты), на которые складируются отходы с целью их накопления до объема, необходимого для их формирования и передачи (поставки) другому физическому или юридическому лицу, согласно договору; при отсутствии постоянного места (объекта), специально предназначенного для размещения данного вида отходов.</w:t>
      </w:r>
    </w:p>
    <w:p>
      <w:pPr>
        <w:spacing w:after="120"/>
        <w:jc w:val="both"/>
      </w:pPr>
      <w:r>
        <w:rPr>
          <w:rFonts w:ascii="Arial" w:cs="Arial" w:eastAsia="Arial" w:hAnsi="Arial"/>
          <w:sz w:val="24"/>
          <w:szCs w:val="24"/>
        </w:rPr>
        <w:t xml:space="preserve">При размещении отходов в пределах установленных лимитов на полигонах, шламохранилищах, хвостохранилищах, отвалах и других специально предназначенных, оборудованных и обустроенных для захоронения данных видов отходов объектах, эксплуатация которых в полной мере отвечает требованиям экологической безопасности, к размеру платы устанавливается понижающий коэффициент 0,3.</w:t>
      </w:r>
    </w:p>
    <w:p>
      <w:pPr>
        <w:spacing w:after="120"/>
        <w:jc w:val="both"/>
      </w:pPr>
      <w:r>
        <w:rPr>
          <w:rFonts w:ascii="Arial" w:cs="Arial" w:eastAsia="Arial" w:hAnsi="Arial"/>
          <w:sz w:val="24"/>
          <w:szCs w:val="24"/>
        </w:rPr>
        <w:t xml:space="preserve">30. При размещении отходов на временных местах (объектах) размещения отходов плата за размещение данного вида отходов не взимается, если данное место (объект) размещения отходов отвечает требованиям экологической безопасности по данным инструментального контроля (воздействие на атмосферный воздух, почвенный слой, водные ресурсы).</w:t>
      </w:r>
    </w:p>
    <w:p>
      <w:pPr>
        <w:spacing w:after="120"/>
        <w:ind w:firstLine="397"/>
        <w:jc w:val="both"/>
      </w:pPr>
      <w:r>
        <w:rPr>
          <w:rFonts w:ascii="Arial" w:cs="Arial" w:eastAsia="Arial" w:hAnsi="Arial"/>
          <w:sz w:val="24"/>
          <w:szCs w:val="24"/>
        </w:rPr>
        <w:t xml:space="preserve">(Абзац 2 утратил силу в соответствии с </w:t>
      </w:r>
      <w:hyperlink w:history="1" r:id="rId63pxquvu6utnqfm1ijy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ujaolck0uylrab0tylmg">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Хозяйствующие субъекты, финансируемые из бюджета, в результате деятельности которых образуются твердые бытовые отходы (ТБО), а также население освобождаются от платы за размещение ТБО на специализированных районных, городских полигонах и свалках, при условии соблюдения ими природоохранных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Расчет платы за размещение горных отвалов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mkbcf5rmtik15mfw45st">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Расчет платы за размещение горных отвалов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Пго = Н × Кинд × М × Кэ,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Н - норматив платы за 1 тонну размещаемых пород (сом.), определяется по формуле: Н = Р × А;</w:t>
      </w:r>
    </w:p>
    <w:p>
      <w:pPr>
        <w:spacing w:after="120"/>
        <w:jc w:val="both"/>
      </w:pPr>
      <w:r>
        <w:rPr>
          <w:rFonts w:ascii="Arial" w:cs="Arial" w:eastAsia="Arial" w:hAnsi="Arial"/>
          <w:sz w:val="24"/>
          <w:szCs w:val="24"/>
        </w:rPr>
        <w:t xml:space="preserve">- М - фактический объем образования горных отвалов, в тоннах, за отчетный период;</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К1 × К2. Значения приведены в таблицах 7 и 8 приложения;</w:t>
      </w:r>
    </w:p>
    <w:p>
      <w:pPr>
        <w:spacing w:after="120"/>
        <w:jc w:val="both"/>
      </w:pPr>
      <w:r>
        <w:rPr>
          <w:rFonts w:ascii="Arial" w:cs="Arial" w:eastAsia="Arial" w:hAnsi="Arial"/>
          <w:sz w:val="24"/>
          <w:szCs w:val="24"/>
        </w:rPr>
        <w:t xml:space="preserve">- Р - ставка платы (сом/приведенная тонна), 3,24 сома;</w:t>
      </w:r>
    </w:p>
    <w:p>
      <w:pPr>
        <w:spacing w:after="120"/>
        <w:jc w:val="both"/>
      </w:pPr>
      <w:r>
        <w:rPr>
          <w:rFonts w:ascii="Arial" w:cs="Arial" w:eastAsia="Arial" w:hAnsi="Arial"/>
          <w:sz w:val="24"/>
          <w:szCs w:val="24"/>
        </w:rPr>
        <w:t xml:space="preserve">- А - показатель относительной опасности, определяется в зависимости от класса опасности размещаемых пород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5 + |К - 5|</w:t>
      </w:r>
      <w:r>
        <w:rPr>
          <w:rFonts w:ascii="Arial" w:cs="Arial" w:eastAsia="Arial" w:hAnsi="Arial"/>
          <w:sz w:val="24"/>
          <w:szCs w:val="24"/>
        </w:rPr>
        <w:t xml:space="preserve">3,5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 - класс опасности пород, размещаемых в горных отвалах, приравнивается:</w:t>
      </w:r>
    </w:p>
    <w:p>
      <w:pPr>
        <w:spacing w:after="120"/>
        <w:jc w:val="both"/>
      </w:pPr>
      <w:r>
        <w:rPr>
          <w:rFonts w:ascii="Arial" w:cs="Arial" w:eastAsia="Arial" w:hAnsi="Arial"/>
          <w:sz w:val="24"/>
          <w:szCs w:val="24"/>
        </w:rPr>
        <w:t xml:space="preserve">для горных отвалов всех групп полезных ископаемых, в которых содержание радионуклидов превышает уровни, установленные нормативными документами, к 1;</w:t>
      </w:r>
    </w:p>
    <w:p>
      <w:pPr>
        <w:spacing w:after="120"/>
        <w:jc w:val="both"/>
      </w:pPr>
      <w:r>
        <w:rPr>
          <w:rFonts w:ascii="Arial" w:cs="Arial" w:eastAsia="Arial" w:hAnsi="Arial"/>
          <w:sz w:val="24"/>
          <w:szCs w:val="24"/>
        </w:rPr>
        <w:t xml:space="preserve">для горных отвалов из рудных и горючих полезных ископаемых - к 4;</w:t>
      </w:r>
    </w:p>
    <w:p>
      <w:pPr>
        <w:spacing w:after="120"/>
        <w:jc w:val="both"/>
      </w:pPr>
      <w:r>
        <w:rPr>
          <w:rFonts w:ascii="Arial" w:cs="Arial" w:eastAsia="Arial" w:hAnsi="Arial"/>
          <w:sz w:val="24"/>
          <w:szCs w:val="24"/>
        </w:rPr>
        <w:t xml:space="preserve">для горных отвалов из нерудных и других групп полезных ископаемых - к 5.</w:t>
      </w:r>
    </w:p>
    <w:p>
      <w:pPr>
        <w:spacing w:after="120"/>
        <w:jc w:val="both"/>
      </w:pPr>
      <w:r>
        <w:rPr>
          <w:rFonts w:ascii="Arial" w:cs="Arial" w:eastAsia="Arial" w:hAnsi="Arial"/>
          <w:sz w:val="24"/>
          <w:szCs w:val="24"/>
        </w:rPr>
        <w:t xml:space="preserve">33. При размещении горных отвалов на специально предназначенных и обустроенных для захоронения местах, эксплуатация которых в полной мере отвечает требованиям экологической безопасности, к размеру платы устанавливается понижающий коэффициент 0,02.</w:t>
      </w:r>
    </w:p>
    <w:p>
      <w:pPr>
        <w:spacing w:after="120"/>
        <w:jc w:val="both"/>
      </w:pPr>
      <w:r>
        <w:rPr>
          <w:rFonts w:ascii="Arial" w:cs="Arial" w:eastAsia="Arial" w:hAnsi="Arial"/>
          <w:sz w:val="24"/>
          <w:szCs w:val="24"/>
        </w:rPr>
        <w:t xml:space="preserve">При установлении нарушений по данным мониторинга и в процессе проверки в установленном законодательством порядке понижающий коэффициент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xejq9mvourwodpeyap1ok">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xshz8-nipgjqi4x6vlimx">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Таблица 1. Коэффициенты экологической ситуации и экологической значимости состояния атмосферного воздуха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9"/>
        <w:gridCol w:w="1930"/>
        <w:gridCol w:w="1930"/>
        <w:gridCol w:w="1930"/>
      </w:tblGrid>
      <w:tr>
        <w:tc>
          <w:tcPr>
            <w:tcW w:type="dxa" w:w="4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w:t>
            </w:r>
          </w:p>
        </w:tc>
        <w:tc>
          <w:tcPr>
            <w:tcW w:type="dxa" w:w="57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Коэффициенты экологической ситуации и экологической значимости состояния атмосферного воздуха</w:t>
            </w:r>
          </w:p>
        </w:tc>
      </w:tr>
      <w:tr>
        <w:tc>
          <w:tcPr>
            <w:vMerge w:val="continue"/>
            <w:tcBorders>
              <w:top w:val="single" w:color="CBBF9E" w:sz="4"/>
              <w:left w:val="single" w:color="CBBF9E" w:sz="4"/>
              <w:bottom w:val="single" w:color="CBBF9E" w:sz="4"/>
              <w:right w:val="single" w:color="CBBF9E" w:sz="4"/>
            </w:tcBorders>
          </w:tcP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Кэ (К1 х К2)</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особо охраняемых природных территорий и курортных зон</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городов с населением более 300 тыс. (гор. Бишкек, Ош):</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источников высотой до 50 м;</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источников высотой более 50 м</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городов и населенных пунктов менее 300 тыс.:</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источников высотой до 50 м;</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источников высотой более 50 м</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прочих территорий</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передвижных источников, использующих неэтилированные виды топлива</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передвижных источников, использующих этилированные виды топлива</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газообразных веществ и мелкодисперсных аэрозолей, скорость упорядоченного оседания которых практически равна нулю, выбрасываемых в атмосферу от стационарных источников, коэффициент K1 принимается равным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Значения показателя относительной опасности (А), ПДК и ОБУВ загрязняющих веществ в атмосферном воздухе населенных мест, мг/куб.м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5"/>
        <w:gridCol w:w="2251"/>
        <w:gridCol w:w="1942"/>
      </w:tblGrid>
      <w:tr>
        <w:tc>
          <w:tcPr>
            <w:tcW w:type="dxa" w:w="59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загрязняющих веществ</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 среднесуточные, максимально-разовые(*), ОБУВ(**)</w:t>
            </w:r>
          </w:p>
        </w:tc>
        <w:tc>
          <w:tcPr>
            <w:tcW w:type="dxa" w:w="1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Азота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Азота диоксид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Акролеин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Акрилонитрил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Алюминия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Аммония нитрат (аммиачная селитра)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сернистый (двуокись серы)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уксусный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фталевый (пары, аэрозоль)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фосфорный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хромовый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Ацетон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Ацетальдегид (уксусный альдегид)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Бенз(а)пирен 3, 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 хлористый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 аморфный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Бром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Ванадия пятиокись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 прочие нетоксичные, без ароматических углеводородов, токсичных металлов SiO2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бромистый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фтористый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хлористый (соляная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цианистый (водорода цианид, синильная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Дихлордифторметан (фреон - 12)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оксиды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хлорид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сульфат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Зола угля и недогоревшего топлива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Кадмия оксид (в пересчете на кадмий)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Кальция оксид (негашеная известь)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Керосин 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азотная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валериановая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капроновая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масляная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борная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серная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уксусная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фосфорная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 металлический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Кобальта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Ксилол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Магния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 и его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 (оксид меди в пересчете на медь)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 хлористый (хлорметан)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Метилмеркаптан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0,000009</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 едкий (гидроокись натрия)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карбонат (сода кальцинированная)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Нафталин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Никель металлический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Нитробензол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Олова хлорид (в пересчете на олово)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абразивная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бумаги</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древесная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зерновая, крахмальная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каучука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комбикормовая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мучная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мясокостной муки</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растительная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извести и гипса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каменноугольная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лубяная, хлопчатобумажная, хлопковая, льняная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шерстяная, пуховая, меховая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Пыль неорганическая содержащая двуокись кремния в %:</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выше 70 (динас и др.)</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20 до 70 (цемент, клинкер, песок, оливин, апатит, глина, шамот паолиновый)</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20 (известняк, огарки, доломит и пр.)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стекловолокна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стеклопластика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пресспорошков</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полистирола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табака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металлическая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Растворитель древесно-спиртовой марки 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Сажа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сернистый (в пересчете на 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и его соединения, кроме тетраэтилсвинца (в пересчете на 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Сварочный аэрозоль с сод M№ до 30%</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Синтетические моющие средства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Скипидар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бутиловый (бутанол)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изопропиловый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метиловый (метанол)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(этанол)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Сольвент-нафта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Теллура двуоксид (в пересчете на теллур)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Тетраэтилсвинец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Тетрахлорэтилен (перхлорэтилен)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Трихлорметан (хлороформ)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Трихлорэтан (метилхлороформ)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Уайт-спирит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Углеводороды низкомолекулярные (пары жидких топлив и др.)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Углерода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 четыреххлористый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Фтортрихлорметан (фреон - 11)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Формальдегид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Фтористый водород (плавиковая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Фтора газообразные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Фурфурол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Хромовый ангидрид (трехокись хрома), хромовый шестивалентный в пересчете на трехокись хрома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Циклогексан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Цинка оксид (в пересчете на цинк)</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Этилцеллозольв</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таблице указаны значения показателя относительной опасности основных загрязняющих веществ, по остальным веществам значения определяются расчетным путем.</w:t>
      </w:r>
    </w:p>
    <w:p>
      <w:pPr>
        <w:spacing w:after="120"/>
        <w:jc w:val="both"/>
      </w:pPr>
      <w:r>
        <w:rPr>
          <w:rFonts w:ascii="Arial" w:cs="Arial" w:eastAsia="Arial" w:hAnsi="Arial"/>
          <w:sz w:val="24"/>
          <w:szCs w:val="24"/>
        </w:rPr>
        <w:t xml:space="preserve"/>
      </w:r>
    </w:p>
    <w:p>
      <w:pPr>
        <w:spacing w:after="120" w:before="200"/>
        <w:ind w:firstLine="567"/>
        <w:jc w:val="left"/>
      </w:pPr>
      <w:r>
        <w:rPr>
          <w:rFonts w:ascii="Arial" w:cs="Arial" w:eastAsia="Arial" w:hAnsi="Arial"/>
          <w:b/>
          <w:bCs/>
          <w:sz w:val="24"/>
          <w:szCs w:val="24"/>
        </w:rPr>
        <w:t xml:space="preserve">Таблица 3. Приведенные нормативы платы для различных видов топлива, ввезенного и/или произведенного на территории Кыргызской Республики, сом/т или сом/тыс.куб.м 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топлива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Приведенные нормативы платы, сом/т или сом/тыс.куб.м газа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неэтилированный</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этилированный</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Сжатый природный газ</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Сжиженный газ</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Авиационный вид топлива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bl>
    <w:p>
      <w:pPr>
        <w:spacing w:after="60" w:before="120"/>
        <w:ind w:firstLine="567"/>
        <w:jc w:val="both"/>
      </w:pPr>
      <w:r>
        <w:rPr>
          <w:rFonts w:ascii="Arial" w:cs="Arial" w:eastAsia="Arial" w:hAnsi="Arial"/>
          <w:sz w:val="24"/>
          <w:szCs w:val="24"/>
        </w:rPr>
        <w:t xml:space="preserve">Примечание: хозяйствующие субъекты, предприятия, организации имеют право предоставить достоверные (подтвержденные) данные по удельным выбросам загрязняющих веществ для расчета объемов выбросов при расчете платы от передвижных источников.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cz3pdxmqaxez80opammse">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Приведенный норматив платы за один взлетно-посадочный цикл воздушного судна, сом/взлетно-посадочный цикл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qm80b7t7mmn-h0nsyk6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Значения показателя относительной опасности i-го загрязняющего вещества (А) и ПДК вредных веществ в воде водных объектов рыбохозяйственного, хозяйственно-питьевого и культурно-бытового водопользования, мг/л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7"/>
        <w:gridCol w:w="1530"/>
        <w:gridCol w:w="1530"/>
        <w:gridCol w:w="1530"/>
      </w:tblGrid>
      <w:tr>
        <w:tc>
          <w:tcPr>
            <w:tcW w:type="dxa" w:w="5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загрязняющих вредных веществ</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ПДКрх</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ПДКхп</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Алкилсульфонат натрия (СПАВ)</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Аммоний-ион (№H4+)</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 полн.</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Вольфрам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 (M№2+)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соляровое (смесь углеводородов)</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Молибден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(в растворенном и эмульгированном состоянии)</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Никель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Нитрат-анион (№O3-)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Нитрит-анион (№O2-)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Оксаль, флотореагент</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Роданид натрия, тиоцианат натрия</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0,19 - по веществу; 0,1 - в пересчете на - ион C№S</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5,26 - по веществу; 10 - в пересчете на - ион C№S</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Роданид калия, тиоцианат калия</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 по веществу; 0,09 - в пересчете на - ион C№S</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6,67 - по веществу; 11,11 - в пересчете на - ион C№S</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или 0,00001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 105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Скипидар, терпентинное масло</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Сосновое флотомасло</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Сульфат-анион (SO42-)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 карболовая кислота</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Фторид-анион (F-)</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(в дополнен. к фонов. содерж., но не выше суммарн. содержания 0,75)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Хлорид-анион (Cl-)</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 трехвалентный (Cr3+)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 шестивалентный (Cr6+)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Цианид-анион (C№-)</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Коэффициенты экологической ситуации и экологической значимости состояния водных объектов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2"/>
        <w:gridCol w:w="1712"/>
        <w:gridCol w:w="1712"/>
        <w:gridCol w:w="1712"/>
      </w:tblGrid>
      <w:tr>
        <w:tc>
          <w:tcPr>
            <w:tcW w:type="dxa" w:w="50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сброса сточных вод</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ситуации, K1</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значимости, К2</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Кэ
 (К1 х К2)</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Озеро Иссык-Куль, трансграничные водные объекты, подземные горизонты</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Коллекторно-дренажные системы, поля орошения, фильтрации и испарения. Рельеф местности (балки, овраги, котлованы, сухие русла рек и т.п.)</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водные объекты естественного и искусственного происхождения</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Коэффициенты экологической ситуации места (объекта) размещения отходов и горных отвалов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7"/>
        <w:gridCol w:w="2941"/>
      </w:tblGrid>
      <w:tr>
        <w:tc>
          <w:tcPr>
            <w:tcW w:type="dxa" w:w="72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 места (объекта) размещения отходов</w:t>
            </w:r>
          </w:p>
        </w:tc>
        <w:tc>
          <w:tcPr>
            <w:tcW w:type="dxa" w:w="2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Коэффициенты экологической ситуации, K1</w:t>
            </w:r>
          </w:p>
        </w:tc>
      </w:tr>
      <w:tr>
        <w:tc>
          <w:tcPr>
            <w:tcW w:type="dxa" w:w="7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(объект) размещения отходов и горных отвалов, отвечающее требованиям экологической безопасности</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(объект) размещения отходов и горных отвалов, не отвечающее требованиям экологической безопасности или отвечающее им не в полной мере</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da9mnv04tky8kanjfez75">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 Коэффициент экологической значимости места (объекта) размещения отходов и горных отвалов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3"/>
        <w:gridCol w:w="3925"/>
      </w:tblGrid>
      <w:tr>
        <w:tc>
          <w:tcPr>
            <w:tcW w:type="dxa" w:w="6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места (объекта) размещения от границы населенного пункта</w:t>
            </w:r>
          </w:p>
        </w:tc>
        <w:tc>
          <w:tcPr>
            <w:tcW w:type="dxa" w:w="3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значимости, К2</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3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Примечание: граница населенного пункта определяется по данным утвержденных генеральных планов, схем районной планировки, планов территориальной застройки, по данным иных официальных документов, связанных с планировкой территории населенных пунктов.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figndgpb21lotfmwxguco">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6b5o6vxstgv9hgr78gkg">
      <w:r>
        <w:rPr>
          <w:rFonts w:ascii="Arial" w:cs="Arial" w:eastAsia="Arial" w:hAnsi="Arial"/>
          <w:color w:val="132D3F"/>
          <w:sz w:val="16"/>
          <w:szCs w:val="16"/>
          <w:u w:val="single"/>
        </w:rPr>
        <w:t xml:space="preserve">dalil.kg/document/95267</w:t>
      </w:r>
    </w:hyperlink>
  </w:p>
  <w:p>
    <w:pPr>
      <w:spacing w:after="0" w:before="40"/>
      <w:jc w:val="center"/>
    </w:pPr>
    <w:hyperlink w:history="1" r:id="rIdllzngtjecyxtmzz7rvh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44mbsc9lv0ndz15nf-jb" Type="http://schemas.openxmlformats.org/officeDocument/2006/relationships/hyperlink" Target="https://dalil.kg/document/95265" TargetMode="External"/><Relationship Id="rIdmgb4zgxgzm4-46yj4w66u" Type="http://schemas.openxmlformats.org/officeDocument/2006/relationships/hyperlink" Target="https://dalil.kg/document/96598" TargetMode="External"/><Relationship Id="rIdkshal9rstq0juvrz1imxb" Type="http://schemas.openxmlformats.org/officeDocument/2006/relationships/hyperlink" Target="https://dalil.kg/document/98141" TargetMode="External"/><Relationship Id="rIdang8cx9zdd3pekrnk1sqq" Type="http://schemas.openxmlformats.org/officeDocument/2006/relationships/hyperlink" Target="https://dalil.kg/document/11681" TargetMode="External"/><Relationship Id="rIdwlccyflvdb6duyyzsjed0" Type="http://schemas.openxmlformats.org/officeDocument/2006/relationships/hyperlink" Target="https://dalil.kg/document/96598" TargetMode="External"/><Relationship Id="rIdofs9mr1aan4svmxuczyou" Type="http://schemas.openxmlformats.org/officeDocument/2006/relationships/hyperlink" Target="https://dalil.kg/document/96598" TargetMode="External"/><Relationship Id="rIdeipsv8j6cha6lsefxvksg" Type="http://schemas.openxmlformats.org/officeDocument/2006/relationships/hyperlink" Target="https://dalil.kg/document/96598" TargetMode="External"/><Relationship Id="rIdelqnqmbv6yens_tcl1luv" Type="http://schemas.openxmlformats.org/officeDocument/2006/relationships/hyperlink" Target="https://dalil.kg/document/98141" TargetMode="External"/><Relationship Id="rIdn8avexzb4q_w4kjiyy6fe" Type="http://schemas.openxmlformats.org/officeDocument/2006/relationships/hyperlink" Target="https://dalil.kg/document/96598" TargetMode="External"/><Relationship Id="rIddorg4ejy7zb3hb7hneewv" Type="http://schemas.openxmlformats.org/officeDocument/2006/relationships/hyperlink" Target="https://dalil.kg/document/96598" TargetMode="External"/><Relationship Id="rIdkdjcyioo6vs6awmppzqql" Type="http://schemas.openxmlformats.org/officeDocument/2006/relationships/hyperlink" Target="https://dalil.kg/document/98141" TargetMode="External"/><Relationship Id="rIdufy0duvfux1hz0xfprbdd" Type="http://schemas.openxmlformats.org/officeDocument/2006/relationships/hyperlink" Target="https://dalil.kg/document/11681" TargetMode="External"/><Relationship Id="rIdknv9zh_a01ldem7kloxmw" Type="http://schemas.openxmlformats.org/officeDocument/2006/relationships/hyperlink" Target="https://dalil.kg/document/96598" TargetMode="External"/><Relationship Id="rIdyfdflgh2hredqxs9jctun" Type="http://schemas.openxmlformats.org/officeDocument/2006/relationships/hyperlink" Target="https://dalil.kg/document/96598" TargetMode="External"/><Relationship Id="rIdr3jxebhw83jcqqzpyi0cj" Type="http://schemas.openxmlformats.org/officeDocument/2006/relationships/hyperlink" Target="https://dalil.kg/document/96598" TargetMode="External"/><Relationship Id="rId9t2xrfzd-3codwvuyvdsw" Type="http://schemas.openxmlformats.org/officeDocument/2006/relationships/hyperlink" Target="https://dalil.kg/document/96598" TargetMode="External"/><Relationship Id="rIdohfu3loy60ga3f363c--z" Type="http://schemas.openxmlformats.org/officeDocument/2006/relationships/hyperlink" Target="https://dalil.kg/document/95267#&#1088;1" TargetMode="External"/><Relationship Id="rIdk1_hbt-csxzy7wi3y_ohz" Type="http://schemas.openxmlformats.org/officeDocument/2006/relationships/hyperlink" Target="https://dalil.kg/document/95267#&#1088;2" TargetMode="External"/><Relationship Id="rIdsguck40b7-vwjz4gx4_yy" Type="http://schemas.openxmlformats.org/officeDocument/2006/relationships/hyperlink" Target="https://dalil.kg/document/96598" TargetMode="External"/><Relationship Id="rIdmh1vg_pmddvx80j0xf27d" Type="http://schemas.openxmlformats.org/officeDocument/2006/relationships/hyperlink" Target="https://dalil.kg/document/98141" TargetMode="External"/><Relationship Id="rId8vooxkhtuwvzonsxaunzv" Type="http://schemas.openxmlformats.org/officeDocument/2006/relationships/hyperlink" Target="https://dalil.kg/document/96598" TargetMode="External"/><Relationship Id="rIdvl3iuizddb9uybr7mvn1a" Type="http://schemas.openxmlformats.org/officeDocument/2006/relationships/hyperlink" Target="https://dalil.kg/document/95267#&#1088;3" TargetMode="External"/><Relationship Id="rIdbi6z88ch3qwxyv8raljih" Type="http://schemas.openxmlformats.org/officeDocument/2006/relationships/hyperlink" Target="https://dalil.kg/document/95267#&#1088;1" TargetMode="External"/><Relationship Id="rIdwg1dm8-t4psqjxvfuopuw" Type="http://schemas.openxmlformats.org/officeDocument/2006/relationships/hyperlink" Target="https://dalil.kg/document/96598" TargetMode="External"/><Relationship Id="rIdmlkun3cbgimcfvukmyy_c" Type="http://schemas.openxmlformats.org/officeDocument/2006/relationships/hyperlink" Target="https://dalil.kg/document/98141" TargetMode="External"/><Relationship Id="rId6iz-jltfldi7dfhsn6ome" Type="http://schemas.openxmlformats.org/officeDocument/2006/relationships/hyperlink" Target="https://dalil.kg/document/96598" TargetMode="External"/><Relationship Id="rIdgcsitdas6iigsipiwlz_u" Type="http://schemas.openxmlformats.org/officeDocument/2006/relationships/hyperlink" Target="https://dalil.kg/document/96598" TargetMode="External"/><Relationship Id="rId-zoe3iual-zdwifiqrzyd" Type="http://schemas.openxmlformats.org/officeDocument/2006/relationships/hyperlink" Target="https://dalil.kg/document/95267#&#1088;6" TargetMode="External"/><Relationship Id="rIdeia49afcvjzneo7jgoz68" Type="http://schemas.openxmlformats.org/officeDocument/2006/relationships/hyperlink" Target="https://dalil.kg/document/95267#&#1088;5" TargetMode="External"/><Relationship Id="rIdxqatnuvb2eir_zm3xydxv" Type="http://schemas.openxmlformats.org/officeDocument/2006/relationships/hyperlink" Target="https://dalil.kg/document/96598" TargetMode="External"/><Relationship Id="rIdkokea3se42eqxe_gyc3fc" Type="http://schemas.openxmlformats.org/officeDocument/2006/relationships/hyperlink" Target="https://dalil.kg/document/98141" TargetMode="External"/><Relationship Id="rIdk31yvvovxx7dg1pkxhnlr" Type="http://schemas.openxmlformats.org/officeDocument/2006/relationships/hyperlink" Target="https://dalil.kg/document/96598" TargetMode="External"/><Relationship Id="rIdydwmdjzthzqtkgvmrtolz" Type="http://schemas.openxmlformats.org/officeDocument/2006/relationships/hyperlink" Target="https://dalil.kg/document/96598" TargetMode="External"/><Relationship Id="rId23_p2md7xuhojjlenmqrv" Type="http://schemas.openxmlformats.org/officeDocument/2006/relationships/hyperlink" Target="https://dalil.kg/document/98141" TargetMode="External"/><Relationship Id="rIdrrustjqpyaawsawu8fnov" Type="http://schemas.openxmlformats.org/officeDocument/2006/relationships/hyperlink" Target="https://dalil.kg/document/90963" TargetMode="External"/><Relationship Id="rIdgu18bg6e1jp3a8sifw537" Type="http://schemas.openxmlformats.org/officeDocument/2006/relationships/hyperlink" Target="https://dalil.kg/document/96598" TargetMode="External"/><Relationship Id="rIdh5t8vs6omsrz4h06wq2pu" Type="http://schemas.openxmlformats.org/officeDocument/2006/relationships/hyperlink" Target="https://dalil.kg/document/95267#&#1088;7&#1088;8" TargetMode="External"/><Relationship Id="rIdxew9ooqpdkc6prvqx-whp" Type="http://schemas.openxmlformats.org/officeDocument/2006/relationships/hyperlink" Target="https://dalil.kg/document/96598" TargetMode="External"/><Relationship Id="rIdj9ql7hwjgmmf07olkbjj9" Type="http://schemas.openxmlformats.org/officeDocument/2006/relationships/hyperlink" Target="https://dalil.kg/document/98141" TargetMode="External"/><Relationship Id="rId63pxquvu6utnqfm1ijytc" Type="http://schemas.openxmlformats.org/officeDocument/2006/relationships/hyperlink" Target="https://dalil.kg/document/96598" TargetMode="External"/><Relationship Id="rIdjujaolck0uylrab0tylmg" Type="http://schemas.openxmlformats.org/officeDocument/2006/relationships/hyperlink" Target="https://dalil.kg/document/96598" TargetMode="External"/><Relationship Id="rIdemkbcf5rmtik15mfw45st" Type="http://schemas.openxmlformats.org/officeDocument/2006/relationships/hyperlink" Target="https://dalil.kg/document/98141" TargetMode="External"/><Relationship Id="rIdxejq9mvourwodpeyap1ok" Type="http://schemas.openxmlformats.org/officeDocument/2006/relationships/hyperlink" Target="https://dalil.kg/document/96598" TargetMode="External"/><Relationship Id="rIdxshz8-nipgjqi4x6vlimx" Type="http://schemas.openxmlformats.org/officeDocument/2006/relationships/hyperlink" Target="https://dalil.kg/document/98141" TargetMode="External"/><Relationship Id="rIdcz3pdxmqaxez80opammse" Type="http://schemas.openxmlformats.org/officeDocument/2006/relationships/hyperlink" Target="https://dalil.kg/document/98141" TargetMode="External"/><Relationship Id="rIdqm80b7t7mmn-h0nsyk6ht" Type="http://schemas.openxmlformats.org/officeDocument/2006/relationships/hyperlink" Target="https://dalil.kg/document/96598" TargetMode="External"/><Relationship Id="rIdda9mnv04tky8kanjfez75" Type="http://schemas.openxmlformats.org/officeDocument/2006/relationships/hyperlink" Target="https://dalil.kg/document/98141" TargetMode="External"/><Relationship Id="rIdfigndgpb21lotfmwxguco" Type="http://schemas.openxmlformats.org/officeDocument/2006/relationships/hyperlink" Target="https://dalil.kg/document/98141"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6b5o6vxstgv9hgr78gkg" Type="http://schemas.openxmlformats.org/officeDocument/2006/relationships/hyperlink" Target="https://dalil.kg/document/95267" TargetMode="External"/><Relationship Id="rIdllzngtjecyxtmzz7rvh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2026-09-23T15:59:09.568Z</dcterms:created>
  <dcterms:modified xsi:type="dcterms:W3CDTF">2026-09-23T15:59:09.568Z</dcterms:modified>
</cp:coreProperties>
</file>

<file path=docProps/custom.xml><?xml version="1.0" encoding="utf-8"?>
<Properties xmlns="http://schemas.openxmlformats.org/officeDocument/2006/custom-properties" xmlns:vt="http://schemas.openxmlformats.org/officeDocument/2006/docPropsVTypes"/>
</file>