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lw_gnszfaaperdcrd4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2012 года № 789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апреля 2012 года № 239</w:t>
      </w:r>
    </w:p>
    <w:p>
      <w:pPr>
        <w:spacing w:after="120"/>
        <w:jc w:val="both"/>
      </w:pPr>
      <w:r>
        <w:rPr>
          <w:rFonts w:ascii="Arial" w:cs="Arial" w:eastAsia="Arial" w:hAnsi="Arial"/>
          <w:sz w:val="24"/>
          <w:szCs w:val="24"/>
        </w:rPr>
        <w:t xml:space="preserve">Об одобрении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В соответствии со статьями 74 и 88 </w:t>
      </w:r>
      <w:hyperlink w:history="1" r:id="rId1rt0e_-hoa_04lv8vvfe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Отозвать из Жогорку Кенеша Кыргызской Республики проект Среднесрочной программы развития Кыргызской Республики на 2012-2014 годы, направленный в соответствии с </w:t>
      </w:r>
      <w:hyperlink w:history="1" r:id="rIdxfegkci8mbblxa1c2h6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одобрении проекта Среднесрочной программы развития Кыргызской Республики на 2012-2014 годы" от 8 сентября 2011 года № 540.</w:t>
      </w:r>
    </w:p>
    <w:p>
      <w:pPr>
        <w:spacing w:after="120"/>
        <w:jc w:val="both"/>
      </w:pPr>
      <w:r>
        <w:rPr>
          <w:rFonts w:ascii="Arial" w:cs="Arial" w:eastAsia="Arial" w:hAnsi="Arial"/>
          <w:sz w:val="24"/>
          <w:szCs w:val="24"/>
        </w:rPr>
        <w:t xml:space="preserve">2. Признать утратившим силу </w:t>
      </w:r>
      <w:hyperlink w:history="1" r:id="rIdsd0ljtq8x_zzrnjxtk1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w:t>
      </w:r>
      <w:hyperlink w:history="1" r:id="rIdqq1q_0hv1ymjx24zmppjm">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Среднесрочной программы развития Кыргызской Республики на 2012-2014 годы" от 8 сентября 2011 года № 540.</w:t>
      </w:r>
    </w:p>
    <w:p>
      <w:pPr>
        <w:spacing w:after="120"/>
        <w:jc w:val="both"/>
      </w:pPr>
      <w:r>
        <w:rPr>
          <w:rFonts w:ascii="Arial" w:cs="Arial" w:eastAsia="Arial" w:hAnsi="Arial"/>
          <w:sz w:val="24"/>
          <w:szCs w:val="24"/>
        </w:rPr>
        <w:t xml:space="preserve">3. Одобрить </w:t>
      </w:r>
      <w:hyperlink w:history="1" r:id="rId1hmoyxct5qh-o034ylla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Среднесрочной программы развития Кыргызской Республики на 2012-2014 годы (далее - Среднесрочная программа) согласно приложению к настоящему постановлению.</w:t>
      </w:r>
    </w:p>
    <w:p>
      <w:pPr>
        <w:spacing w:after="120"/>
        <w:jc w:val="both"/>
      </w:pPr>
      <w:r>
        <w:rPr>
          <w:rFonts w:ascii="Arial" w:cs="Arial" w:eastAsia="Arial" w:hAnsi="Arial"/>
          <w:sz w:val="24"/>
          <w:szCs w:val="24"/>
        </w:rPr>
        <w:t xml:space="preserve">4. Внести указанный </w:t>
      </w:r>
      <w:hyperlink w:history="1" r:id="rIdwxgxogmcg3cf4z3hp3no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Среднесрочной программы на утверждение в Жогорку Кенеш Кыргызской Республики.</w:t>
      </w:r>
    </w:p>
    <w:p>
      <w:pPr>
        <w:spacing w:after="120"/>
        <w:jc w:val="both"/>
      </w:pPr>
      <w:r>
        <w:rPr>
          <w:rFonts w:ascii="Arial" w:cs="Arial" w:eastAsia="Arial" w:hAnsi="Arial"/>
          <w:sz w:val="24"/>
          <w:szCs w:val="24"/>
        </w:rPr>
        <w:t xml:space="preserve">5.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проекта Среднесрочной программы Жогорку Кенешем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8k3t9csbqzgtjos_qplu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программа развития Кыргызской Республики на 2012-2014 годы</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документ отражает перспективы и среднесрочные приоритеты развития Кыргызской Республики на 2012-2014 годы.</w:t>
      </w:r>
    </w:p>
    <w:p>
      <w:pPr>
        <w:spacing w:after="120"/>
        <w:jc w:val="both"/>
      </w:pPr>
      <w:r>
        <w:rPr>
          <w:rFonts w:ascii="Arial" w:cs="Arial" w:eastAsia="Arial" w:hAnsi="Arial"/>
          <w:sz w:val="24"/>
          <w:szCs w:val="24"/>
        </w:rPr>
        <w:t xml:space="preserve">2. После апрельских событий 2010 года произошли коренные изменения в государственном устройстве Кыргызской Республики. Была введена парламентская форма правления. Ключевой темой в повестке дня работы Правительства Кыргызской Республики стало обеспечение безопасности общества. Президент Кыргызской Республики (далее - Президент), Жогорку Кенеш Кыргызской Республики (далее - Жогорку Кенеш) и Правительство Кыргызской Республики (далее - Правительство) сумели предотвратить кризисные проявления и направить жизнь страны в стабильное и конструктивное русло.</w:t>
      </w:r>
    </w:p>
    <w:p>
      <w:pPr>
        <w:spacing w:after="120"/>
        <w:jc w:val="both"/>
      </w:pPr>
      <w:r>
        <w:rPr>
          <w:rFonts w:ascii="Arial" w:cs="Arial" w:eastAsia="Arial" w:hAnsi="Arial"/>
          <w:sz w:val="24"/>
          <w:szCs w:val="24"/>
        </w:rPr>
        <w:t xml:space="preserve">3. В прежние годы происходило сращивание власти и криминала. Послереволюционный период сопровождался активизацией криминальных элементов. Поэтому Правительством были приняты решительные меры по декриминализации общества и экономики. Сегодня наиболее влиятельные члены преступного мира находятся в заключении или скрываются за пределами страны.</w:t>
      </w:r>
    </w:p>
    <w:p>
      <w:pPr>
        <w:spacing w:after="120"/>
        <w:jc w:val="both"/>
      </w:pPr>
      <w:r>
        <w:rPr>
          <w:rFonts w:ascii="Arial" w:cs="Arial" w:eastAsia="Arial" w:hAnsi="Arial"/>
          <w:sz w:val="24"/>
          <w:szCs w:val="24"/>
        </w:rPr>
        <w:t xml:space="preserve">4. После апрельских событий 2010 года была отменена практика по проведению аукционов и конкурсов без установления цены, что позволяло проводить инсайдерские сделки и реализовывать объекты по заниженным ценам. Действия Правительства по вопросам приватизации государственного имущества выстраивались на принципах прозрачности и подконтрольности процесса Парламенту и гражданскому обществу. Был пересмотрен состав комиссий по приватизации, куда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w:t>
      </w:r>
    </w:p>
    <w:p>
      <w:pPr>
        <w:spacing w:after="120"/>
        <w:jc w:val="both"/>
      </w:pPr>
      <w:r>
        <w:rPr>
          <w:rFonts w:ascii="Arial" w:cs="Arial" w:eastAsia="Arial" w:hAnsi="Arial"/>
          <w:sz w:val="24"/>
          <w:szCs w:val="24"/>
        </w:rPr>
        <w:t xml:space="preserve">5. Правительству удалось удержать экономику страны от глубокого спада. Из-за нарастания уровня бедности социальная политика была сконцентрирована на решении насущных проблем населения. Заработная плата учителям и врачам повысилась в два и более раза. Пенсии были повышены на 30 процентов.</w:t>
      </w:r>
    </w:p>
    <w:p>
      <w:pPr>
        <w:spacing w:after="120"/>
        <w:jc w:val="both"/>
      </w:pPr>
      <w:r>
        <w:rPr>
          <w:rFonts w:ascii="Arial" w:cs="Arial" w:eastAsia="Arial" w:hAnsi="Arial"/>
          <w:sz w:val="24"/>
          <w:szCs w:val="24"/>
        </w:rPr>
        <w:t xml:space="preserve">6. Среднесрочная Программа развития Кыргызской Республики (далее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7. 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Правительству удалось решить не все проблемы, оставленные в наследство прежними руководителями страны. За двадцать лет накопилось огромное количество нерешенных проблем. Структура экономики устарела и по многим позициям стала неконкурентоспособной по отношению к внешним товаропроизводителям. Производительность труда остается низкой, наблюдается отток наиболее квалифицированных кадров из страны, качество трудовых ресурсов ухудшается. В стране разрушен привлекательный инвестиционный климат, происходит отток капитала. Начинают деградировать не только устаревшие основные фонды, но и социальная и жилищная инфраструктуры.</w:t>
      </w:r>
    </w:p>
    <w:p>
      <w:pPr>
        <w:spacing w:after="120"/>
        <w:jc w:val="both"/>
      </w:pPr>
      <w:r>
        <w:rPr>
          <w:rFonts w:ascii="Arial" w:cs="Arial" w:eastAsia="Arial" w:hAnsi="Arial"/>
          <w:sz w:val="24"/>
          <w:szCs w:val="24"/>
        </w:rPr>
        <w:t xml:space="preserve">9. Страны - основные торговые партнеры Кыргызстана переходят к новому технологическому укладу экономики, который обеспечит их развитие в будущем. Сохранение существующей тенденции приведет к отсталости и превращению нашей страны в периферию не только глобальной, но и региональной экономики, возникнет риск стать сырьевым придатком и страной потребления, поэтому Правительство намерено подготовить страну к грядущим переменам через кардинальные реформы в экономике.</w:t>
      </w:r>
    </w:p>
    <w:p>
      <w:pPr>
        <w:spacing w:after="120"/>
        <w:jc w:val="both"/>
      </w:pPr>
      <w:r>
        <w:rPr>
          <w:rFonts w:ascii="Arial" w:cs="Arial" w:eastAsia="Arial" w:hAnsi="Arial"/>
          <w:sz w:val="24"/>
          <w:szCs w:val="24"/>
        </w:rPr>
        <w:t xml:space="preserve">10. Требуется провести реформы и в социальной сфере. Последствия мирового экономического кризиса 2009 года и события в 2010 году привели к снижению уровня жизни населения, а уровень бедности вырос с 31,7% до 33,7%. Сегодня государство распределяет ограниченные ресурсы бюджета неэффективно, адресность социальной помощи не обеспечена. В результате, государственная поддержка той категории людей, которые в ней реально нуждаются, оказывается недостаточной. Необходимо четко определить, кого конкретно должно защищать государство и оказывать действительную, а не декларативную, социальную помощь и защиту.</w:t>
      </w:r>
    </w:p>
    <w:p>
      <w:pPr>
        <w:spacing w:after="120"/>
        <w:jc w:val="both"/>
      </w:pPr>
      <w:r>
        <w:rPr>
          <w:rFonts w:ascii="Arial" w:cs="Arial" w:eastAsia="Arial" w:hAnsi="Arial"/>
          <w:sz w:val="24"/>
          <w:szCs w:val="24"/>
        </w:rPr>
        <w:t xml:space="preserve">11. Сдерживающим фактором продвижения страны вперед и эффективной реализации намеченных реформ становится задержка реформы судебной системы.</w:t>
      </w:r>
    </w:p>
    <w:p>
      <w:pPr>
        <w:spacing w:after="120"/>
        <w:jc w:val="both"/>
      </w:pPr>
      <w:r>
        <w:rPr>
          <w:rFonts w:ascii="Arial" w:cs="Arial" w:eastAsia="Arial" w:hAnsi="Arial"/>
          <w:sz w:val="24"/>
          <w:szCs w:val="24"/>
        </w:rPr>
        <w:t xml:space="preserve">12. Существующая структура государственного управления неадекватна стоящим перед страной задачам и тормозит развитие. Взяв на себя излишние функции, государственные органы стали громоздкими и неповоротливыми. Сложившаяся система государственного управления не способствует сегодня развитию экономики и улучшению социального развития, препятствует развертыванию рыночных принципов.</w:t>
      </w:r>
    </w:p>
    <w:p>
      <w:pPr>
        <w:spacing w:after="120"/>
        <w:jc w:val="both"/>
      </w:pPr>
      <w:r>
        <w:rPr>
          <w:rFonts w:ascii="Arial" w:cs="Arial" w:eastAsia="Arial" w:hAnsi="Arial"/>
          <w:sz w:val="24"/>
          <w:szCs w:val="24"/>
        </w:rPr>
        <w:t xml:space="preserve">13. Таким образом, стало невозможным обеспечить развитие Кыргызстана на основе устаревших принципов государственного управления.</w:t>
      </w:r>
    </w:p>
    <w:p>
      <w:pPr>
        <w:spacing w:after="120"/>
        <w:jc w:val="both"/>
      </w:pPr>
      <w:r>
        <w:rPr>
          <w:rFonts w:ascii="Arial" w:cs="Arial" w:eastAsia="Arial" w:hAnsi="Arial"/>
          <w:sz w:val="24"/>
          <w:szCs w:val="24"/>
        </w:rPr>
        <w:t xml:space="preserve">III. Постконфликтное урегулирование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 территории страны проживают более ста этносов, имеющих свою историю, язык и культурные особенности. Последние годы вопросы межэтнических, межродовых, региональных отношений стали политизироваться и использоваться отдельными политиками как элемент давления на государственную власть для достижения определенных целей. Этот фактор усилился из-за нарастания социально-экономических проблем. К сожалению, в условиях острой политической борьбы 2010 года все эти обстоятельства привели к трагическим событиям на юге страны.</w:t>
      </w:r>
    </w:p>
    <w:p>
      <w:pPr>
        <w:spacing w:after="120"/>
        <w:jc w:val="both"/>
      </w:pPr>
      <w:r>
        <w:rPr>
          <w:rFonts w:ascii="Arial" w:cs="Arial" w:eastAsia="Arial" w:hAnsi="Arial"/>
          <w:sz w:val="24"/>
          <w:szCs w:val="24"/>
        </w:rPr>
        <w:t xml:space="preserve">15. Одним из первых шагов Правительства постконфликтного урегулирования стало создание Комиссии по оценке ущерба на юге страны. Практическую работу по восстановлению разрушенного жилья, инфраструктуры и социальных объектов стала выполнять специально созданная Государственная дирекция по восстановления городов Ош и Джалал-Абад.</w:t>
      </w:r>
    </w:p>
    <w:p>
      <w:pPr>
        <w:spacing w:after="120"/>
        <w:jc w:val="both"/>
      </w:pPr>
      <w:r>
        <w:rPr>
          <w:rFonts w:ascii="Arial" w:cs="Arial" w:eastAsia="Arial" w:hAnsi="Arial"/>
          <w:sz w:val="24"/>
          <w:szCs w:val="24"/>
        </w:rPr>
        <w:t xml:space="preserve">16. В целях сохранения единства народов страны и примирения на юге страны Указом Президента Кыргызской Республики была утверждена Концепция этнической политики и консолидации общества Кыргызской Республики до 2015 года, которая определяет стратегические подходы, направленные на консолидацию общества и формирование сбалансированной политики в сфере межэтнических отношений.</w:t>
      </w:r>
    </w:p>
    <w:p>
      <w:pPr>
        <w:spacing w:after="120"/>
        <w:jc w:val="both"/>
      </w:pPr>
      <w:r>
        <w:rPr>
          <w:rFonts w:ascii="Arial" w:cs="Arial" w:eastAsia="Arial" w:hAnsi="Arial"/>
          <w:sz w:val="24"/>
          <w:szCs w:val="24"/>
        </w:rPr>
        <w:t xml:space="preserve">17. Для обеспечения стабильного развития и процветания страны, создания достойных условий для граждан и обеспечения мира и согласия среди населения Президентом Кыргызской Республики 2012 год объявлен Годом семьи, мира, согласия и взаимного прощения.</w:t>
      </w:r>
    </w:p>
    <w:p>
      <w:pPr>
        <w:spacing w:after="120"/>
        <w:jc w:val="both"/>
      </w:pPr>
      <w:r>
        <w:rPr>
          <w:rFonts w:ascii="Arial" w:cs="Arial" w:eastAsia="Arial" w:hAnsi="Arial"/>
          <w:sz w:val="24"/>
          <w:szCs w:val="24"/>
        </w:rPr>
        <w:t xml:space="preserve">18. Основными направлениями политики Правительства по обеспечению постконфликтного восстановления и примирения на юге страны до 2014 года будет: (i) расширение форм участия гражданского общества в управлении государством; (ii) обеспечение равного доступа для представительства от этнических групп в политической, экономической и общественной жизни.</w:t>
      </w:r>
    </w:p>
    <w:p>
      <w:pPr>
        <w:spacing w:after="120"/>
        <w:jc w:val="both"/>
      </w:pPr>
      <w:r>
        <w:rPr>
          <w:rFonts w:ascii="Arial" w:cs="Arial" w:eastAsia="Arial" w:hAnsi="Arial"/>
          <w:sz w:val="24"/>
          <w:szCs w:val="24"/>
        </w:rPr>
        <w:t xml:space="preserve">19. Правительство будет обеспечивать реальное участие всех этнических групп в экономической и социальной жизни посредством использования недискриминационного подхода в сфере занятости и бизнеса через принятие мер по подготовке и переподготовке кадров.</w:t>
      </w:r>
    </w:p>
    <w:p>
      <w:pPr>
        <w:spacing w:after="120"/>
        <w:jc w:val="both"/>
      </w:pPr>
      <w:r>
        <w:rPr>
          <w:rFonts w:ascii="Arial" w:cs="Arial" w:eastAsia="Arial" w:hAnsi="Arial"/>
          <w:sz w:val="24"/>
          <w:szCs w:val="24"/>
        </w:rPr>
        <w:t xml:space="preserve">20. Органы государственного управления и местного самоуправления через прозрачные и контролируемые процедуры будут обеспечивать равный доступ для всех граждан к природным, финансовым, информационным и другим ресурсам.</w:t>
      </w:r>
    </w:p>
    <w:p>
      <w:pPr>
        <w:spacing w:after="120"/>
        <w:jc w:val="both"/>
      </w:pPr>
      <w:r>
        <w:rPr>
          <w:rFonts w:ascii="Arial" w:cs="Arial" w:eastAsia="Arial" w:hAnsi="Arial"/>
          <w:sz w:val="24"/>
          <w:szCs w:val="24"/>
        </w:rPr>
        <w:t xml:space="preserve">IV. Цели и задачи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Главной целью реформ, заявленных Правительством в настоящем документе, является повышение уровня жизни населения и сокращение бедности на основе экономического роста, улучшения бизнес-среды и построения эффективной системы государственного управления.</w:t>
      </w:r>
    </w:p>
    <w:p>
      <w:pPr>
        <w:spacing w:after="120"/>
        <w:jc w:val="both"/>
      </w:pPr>
      <w:r>
        <w:rPr>
          <w:rFonts w:ascii="Arial" w:cs="Arial" w:eastAsia="Arial" w:hAnsi="Arial"/>
          <w:sz w:val="24"/>
          <w:szCs w:val="24"/>
        </w:rPr>
        <w:t xml:space="preserve">22. Достижение этой цели будет обеспечиваться посредством решения следующих задач: (i) реформа системы государственного управления и формирование компактного Правительства; (ii) сокращение государственных расходов и увеличение доходов; (iii) ускоренное развитие экономики через запуск новых национальных проектов; (iv) эффективное управление государственными активами; (v) реформа лицензионно-разрешительной и контрольно-надзорной систем; (vi) реформы в социальной сфере; (vii) реформы в сфере безопасности; (viii) реформа судебной системы.</w:t>
      </w:r>
    </w:p>
    <w:p>
      <w:pPr>
        <w:spacing w:after="120"/>
        <w:jc w:val="both"/>
      </w:pPr>
      <w:r>
        <w:rPr>
          <w:rFonts w:ascii="Arial" w:cs="Arial" w:eastAsia="Arial" w:hAnsi="Arial"/>
          <w:sz w:val="24"/>
          <w:szCs w:val="24"/>
        </w:rPr>
        <w:t xml:space="preserve">V. Развитие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Макроэкономическая политика</w:t>
      </w:r>
    </w:p>
    <w:p>
      <w:pPr>
        <w:spacing w:after="120"/>
        <w:jc w:val="both"/>
      </w:pPr>
      <w:r>
        <w:rPr>
          <w:rFonts w:ascii="Arial" w:cs="Arial" w:eastAsia="Arial" w:hAnsi="Arial"/>
          <w:sz w:val="24"/>
          <w:szCs w:val="24"/>
        </w:rPr>
        <w:t xml:space="preserve">23. По оценкам Правительства, инерционное развитие страны, при сохранении тенденций, сложившихся в 2011 году, и неизменности внешних факторов, приведет к усугублению проблем дефицита бюджета (таблица 1). Поэтому Правительство выступает с инициативой нового курса развития экономики и улучшения деловой среды.</w:t>
      </w:r>
    </w:p>
    <w:p>
      <w:pPr>
        <w:spacing w:after="120"/>
        <w:ind w:firstLine="708"/>
        <w:jc w:val="both"/>
      </w:pPr>
      <w:r>
        <w:rPr>
          <w:rFonts w:ascii="Arial" w:cs="Arial" w:eastAsia="Arial" w:hAnsi="Arial"/>
          <w:sz w:val="24"/>
          <w:szCs w:val="24"/>
        </w:rPr>
        <w:t xml:space="preserve">Таблица 1. Основные макроэкономические показатели инерционного развития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млрд.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273,1    │ 313,7    │ 363,2    │ 416,4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5,7%   │   6,6%   │   5,8%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ГБ                │   77,3   │   82,6   │   84,0   │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ГБ               │   90,9   │  100,6   │  107,6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               │  -13,5   │  -18,0   │  -23,6   │  -25,7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 % к ВВП      │   -5,0%  │   -5,7%  │   -6,5%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Реформы, обозначенные в рамках настоящей Программы, позволят достичь амбициозных целей по реальному росту ВВП (в среднем на 7,5% ежегодно), увеличению доходов (более чем на 28 млрд. сомов в 2014 году по сравнению с 2011 годом) и существенному уменьшению дефицита бюджета (до 2,6% к ВВП в 2014 году). В случае успешных реформ и реализации мер, предусмотренных в Программе, экономика страны будет характеризоваться следующими макроэкономическими параметрами:</w:t>
      </w:r>
    </w:p>
    <w:p>
      <w:pPr>
        <w:spacing w:after="120"/>
        <w:ind w:firstLine="708"/>
        <w:jc w:val="both"/>
      </w:pPr>
      <w:r>
        <w:rPr>
          <w:rFonts w:ascii="Arial" w:cs="Arial" w:eastAsia="Arial" w:hAnsi="Arial"/>
          <w:sz w:val="24"/>
          <w:szCs w:val="24"/>
        </w:rPr>
        <w:t xml:space="preserve">Таблица 2. Основные макроэкономические показатели с учетом реализации Программы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Млрд.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273,1   │  319,2   │  365,4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5,7%  │    7,5%  │    7,6%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ГБ(1)             │   77,3   │   90,3   │   96,7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ГБ(1)            │   90,9   │  106,7   │  109,8   │  120,6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ГБ(1)            │  -13,5   │  -16,4   │  -13,1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ГБ(1), % к ВВП   │   -5,0%  │   -5,1%  │   -3,6%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Макроэкономическая политика будет направлена на восстановление и обеспечение макроэкономической стабильности. Согласованная бюджетно-налоговая и денежно-кредитная политика будет направлена на удержание уровня инфляции в 2012-2014 годы не выше 10%.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26. Для удержания темпов инфляции на контролируемом уровне будут: (i) разработаны новые монетарные инструменты по стерилизации избыточной денежной массы; (ii) разработан механизм немонетарного воздействия на рынок зерна и хлебопродуктов через государственное регулирование/интервенции для сдерживания роста цен; (iii) разработан и введен государственный инструмент ценовых ограничений на период инфляционных "всплесков" (не более чем на 3 месяца); (iv) проведена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27. 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28. 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уровне 7,5% в среднем за год.</w:t>
      </w:r>
    </w:p>
    <w:p>
      <w:pPr>
        <w:spacing w:after="120"/>
        <w:jc w:val="both"/>
      </w:pPr>
      <w:r>
        <w:rPr>
          <w:rFonts w:ascii="Arial" w:cs="Arial" w:eastAsia="Arial" w:hAnsi="Arial"/>
          <w:sz w:val="24"/>
          <w:szCs w:val="24"/>
        </w:rPr>
        <w:t xml:space="preserve">29. Макроэкономические условия и предпосылки развития можно разделить на благоприятные и неблагоприятные для экономики страны:</w:t>
      </w:r>
    </w:p>
    <w:p>
      <w:pPr>
        <w:spacing w:after="120"/>
        <w:jc w:val="both"/>
      </w:pPr>
      <w:r>
        <w:rPr>
          <w:rFonts w:ascii="Arial" w:cs="Arial" w:eastAsia="Arial" w:hAnsi="Arial"/>
          <w:sz w:val="24"/>
          <w:szCs w:val="24"/>
        </w:rPr>
        <w:t xml:space="preserve">внешние благоприятные предпосылки и условия: (i) рост мировой экономики - на 2,5%, а в странах - основных торговых партнерах страны (Россия, Казахстан) - на уровне 4%-7%; (ii) прогнозируемый рост цен на золото на уровне 1700-2000 долл. за 1 унцию; (iii) сдержанные показатели уровня инфляции (5%-8%)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внешние неблагоприятные факторы/риски: (i) рост мировых цен на продовольственные товары; (ii) высокие мировые цены на сырую нефть (свыше 100 долл. США/баррель) на фоне напряженной политической ситуации в странах Ближнего Востока и Северной Африки; (iii) сокращение реэкспорта и ограничение экспорта товаров из Кыргызстана из-за введения в действие условий Таможенного Союза.</w:t>
      </w:r>
    </w:p>
    <w:p>
      <w:pPr>
        <w:spacing w:after="120"/>
        <w:jc w:val="both"/>
      </w:pPr>
      <w:r>
        <w:rPr>
          <w:rFonts w:ascii="Arial" w:cs="Arial" w:eastAsia="Arial" w:hAnsi="Arial"/>
          <w:sz w:val="24"/>
          <w:szCs w:val="24"/>
        </w:rPr>
        <w:t xml:space="preserve">30. Кроме внешних условий и предпосылок, экономика страны будет зависеть и от внутренних факторов:</w:t>
      </w:r>
    </w:p>
    <w:p>
      <w:pPr>
        <w:spacing w:after="120"/>
        <w:jc w:val="both"/>
      </w:pPr>
      <w:r>
        <w:rPr>
          <w:rFonts w:ascii="Arial" w:cs="Arial" w:eastAsia="Arial" w:hAnsi="Arial"/>
          <w:sz w:val="24"/>
          <w:szCs w:val="24"/>
        </w:rPr>
        <w:t xml:space="preserve">внутренние благоприятные предпосылки и условия: (i) оптимизация системы государственного управления; (ii) восстановление торговой инфраструктуры в пострадавших южных регионах; (iii) создание благоприятной бизнес-среды; (iv) привлечение прямых иностранных инвестиций в крупные национальные проекты;</w:t>
      </w:r>
    </w:p>
    <w:p>
      <w:pPr>
        <w:spacing w:after="120"/>
        <w:jc w:val="both"/>
      </w:pPr>
      <w:r>
        <w:rPr>
          <w:rFonts w:ascii="Arial" w:cs="Arial" w:eastAsia="Arial" w:hAnsi="Arial"/>
          <w:sz w:val="24"/>
          <w:szCs w:val="24"/>
        </w:rPr>
        <w:t xml:space="preserve">внутренние неблагоприятные факторы/риски: (i) риск оттока капитала и трудовых ресурсов из страны; (ii) риск роста теневой экономики; (iii) риски, связанные с продовольственной безопасностью, из-за роста мировых цен на продовольствие, которые в случае внутренней социально-политической напряженности могут значительно усилиться; (iv) природно-климатический фактор, который может оказать негативное воздействие на развитие сельского хозяйства.</w:t>
      </w:r>
    </w:p>
    <w:p>
      <w:pPr>
        <w:spacing w:after="120"/>
        <w:jc w:val="both"/>
      </w:pPr>
      <w:r>
        <w:rPr>
          <w:rFonts w:ascii="Arial" w:cs="Arial" w:eastAsia="Arial" w:hAnsi="Arial"/>
          <w:sz w:val="24"/>
          <w:szCs w:val="24"/>
        </w:rPr>
        <w:t xml:space="preserve">31. С учетом этих условий и предпосылок Правительством и Национальным банком Кыргызской Республики будет разработана Антикризисная программа, направленная на смягчение возможного шокового воздействия на экономику негативных процессов, связанных с ухудшением мировых тенденций развития.</w:t>
      </w:r>
    </w:p>
    <w:p>
      <w:pPr>
        <w:spacing w:after="120"/>
        <w:jc w:val="both"/>
      </w:pPr>
      <w:r>
        <w:rPr>
          <w:rFonts w:ascii="Arial" w:cs="Arial" w:eastAsia="Arial" w:hAnsi="Arial"/>
          <w:sz w:val="24"/>
          <w:szCs w:val="24"/>
        </w:rPr>
        <w:t xml:space="preserve">32. Со стороны производства рост экономики будет поддерживаться за счет всех секторов реальной экономики, формирующих ВВП страны. Максимальный вклад прогнозируется от работы объектов и предприятий сферы услуг (3,4 процентных пункта). Реальные вклады промышленного производства и сельского хозяйства будут умеренными, 1,1 и 0,7 процентных пункта, соответственно. Вклад сектора строительства, несмотря на небольшой удельный вес в структуре ВВП, будет возрастать за счет планируемого запуска новых инвестиционных проектов (1,4 процентных пункта).</w:t>
      </w:r>
    </w:p>
    <w:p>
      <w:pPr>
        <w:spacing w:after="120"/>
        <w:jc w:val="both"/>
      </w:pPr>
      <w:r>
        <w:rPr>
          <w:rFonts w:ascii="Arial" w:cs="Arial" w:eastAsia="Arial" w:hAnsi="Arial"/>
          <w:sz w:val="24"/>
          <w:szCs w:val="24"/>
        </w:rPr>
        <w:t xml:space="preserve">33. Обеспечение устойчивого экономического роста требует значительных объемов частных инвестиций, приток которых заметно сократился в последнее время (в 2009-2010 годы темпы притока частных инвестиций сложились отрицательными - в среднем -8%). Принимая это во внимание, Правительство намерено приложить усилия по восстановлению инвестиционной привлекательности страны, в частности будут проводиться: (i) дальнейшее дерегулирование экономики; (ii) исключение необоснованных вмешательств государственных органов в деятельность субъектов предпринимательства; (iii) устранение административных препятствий и ограничений для ведения бизнеса; (iv) внедрение эффективных инструментов государственного регулирования; (v) обеспечение предсказуемости законодательства.</w:t>
      </w:r>
    </w:p>
    <w:p>
      <w:pPr>
        <w:spacing w:after="120"/>
        <w:jc w:val="both"/>
      </w:pPr>
      <w:r>
        <w:rPr>
          <w:rFonts w:ascii="Arial" w:cs="Arial" w:eastAsia="Arial" w:hAnsi="Arial"/>
          <w:sz w:val="24"/>
          <w:szCs w:val="24"/>
        </w:rPr>
        <w:t xml:space="preserve">34. Решение этих задач в полном объеме позволит достичь среднегодового роста валовых инвестиций на 12,5% в среднем за год, а их удельный вес возрастет до 33,2% к ВВП в 2014 году. При этом предполагается, что рост будет обеспечен, в основном, за счет частных инвестиций, доля которых увеличится с 21,9% в 2011 году до 28,8% к ВВП - в 2014 году. Опережающий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35. В 2012-2014 годы доля частного потребления будет снижаться с 83,5% к ВВП в 2011 году до 82,4% - в 2014 году, поскольку инвестиционные расходы будут преобладать над потребительскими для поддержания экономического роста. Однако, темпы реального роста частного потребления будут стабильно держаться на уровне 5,6% в среднем за год. Частные потребительские расходы будут подкреплены прогнозируемым ростом денежных доходов населения за счет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36. Прогнозируемое снижение государственного потребления (с 17,8% в 2011 году до 16,4% к ВВП в 2014 году) станет результатом сокращения расходов на содержание институтов государственного управления.</w:t>
      </w:r>
    </w:p>
    <w:p>
      <w:pPr>
        <w:spacing w:after="120"/>
        <w:jc w:val="both"/>
      </w:pPr>
      <w:r>
        <w:rPr>
          <w:rFonts w:ascii="Arial" w:cs="Arial" w:eastAsia="Arial" w:hAnsi="Arial"/>
          <w:sz w:val="24"/>
          <w:szCs w:val="24"/>
        </w:rPr>
        <w:t xml:space="preserve">37. Рост частного потребления будет стимулировать опережающий рост импорта (на 4,7% в среднем за год), по сравнению с экспортом (на 3,7% в среднем за год), и станет одной из причин ухудшения показателя чистого экспорта (с -29% к ВВП - в 2011 году до -32% к ВВП - в 2014 году). Вместе с тем, рост импорта будет обусловлен не только ввозом потребительских товаров, но и возрастанием импорта инвестиционных товаров (в среднем на 11,3% ежегодно).</w:t>
      </w:r>
    </w:p>
    <w:p>
      <w:pPr>
        <w:spacing w:after="120"/>
        <w:jc w:val="both"/>
      </w:pPr>
      <w:r>
        <w:rPr>
          <w:rFonts w:ascii="Arial" w:cs="Arial" w:eastAsia="Arial" w:hAnsi="Arial"/>
          <w:sz w:val="24"/>
          <w:szCs w:val="24"/>
        </w:rPr>
        <w:t xml:space="preserve">38. Сдержанные темпы роста экспорта будут обусловлены тем, что стимулирующий эффект от притока инвестиций в экономику страны за счет запуска крупных национальных проектов и рост экспортного потенциала ожидаются, в основном, за пределами прогнозируемого периода.</w:t>
      </w:r>
    </w:p>
    <w:p>
      <w:pPr>
        <w:spacing w:after="120"/>
        <w:jc w:val="both"/>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С 1 января 2009 года в Кыргызской Республике действует новая редакция Налогового кодекса Кыргызской Республики (далее - Налоговый кодекс) - единого кодифицированного документа, охватившего все виды налогов и налоговых действий. Достижениями новой редакции Налогового кодекса стали снижение ставок основных налогов, снижение общего количества налогов и сборов с 16 до 8, ликвидация каскадных нерыночных налогов, либерализация налогового администрирования по отношению к добросовестному налогоплательщику, введение механизмов партнерства.</w:t>
      </w:r>
    </w:p>
    <w:p>
      <w:pPr>
        <w:spacing w:after="120"/>
        <w:jc w:val="both"/>
      </w:pPr>
      <w:r>
        <w:rPr>
          <w:rFonts w:ascii="Arial" w:cs="Arial" w:eastAsia="Arial" w:hAnsi="Arial"/>
          <w:sz w:val="24"/>
          <w:szCs w:val="24"/>
        </w:rPr>
        <w:t xml:space="preserve">40. Установленный новой редакцией Налогового кодекса либеральный налоговый режим для предпринимателей и инвесторов имеет важное значение для их привлечения в легальное поле деятельности, для увеличения объемов производства, и, соответственно, стимулирует рост налоговых поступлений в бюджет страны, что и произошло уже в 2009 году.</w:t>
      </w:r>
    </w:p>
    <w:p>
      <w:pPr>
        <w:spacing w:after="120"/>
        <w:jc w:val="both"/>
      </w:pPr>
      <w:r>
        <w:rPr>
          <w:rFonts w:ascii="Arial" w:cs="Arial" w:eastAsia="Arial" w:hAnsi="Arial"/>
          <w:sz w:val="24"/>
          <w:szCs w:val="24"/>
        </w:rPr>
        <w:t xml:space="preserve">41. В 2010 году, несмотря на политические события и спад экономики, налоговые поступления увеличились на 9,1% (3,3 млрд. сомов), а в 2011 году доходы бюджета от налогов возросли на 34,7% (13,6 млрд. сомов).</w:t>
      </w:r>
    </w:p>
    <w:p>
      <w:pPr>
        <w:spacing w:after="120"/>
        <w:jc w:val="both"/>
      </w:pPr>
      <w:r>
        <w:rPr>
          <w:rFonts w:ascii="Arial" w:cs="Arial" w:eastAsia="Arial" w:hAnsi="Arial"/>
          <w:sz w:val="24"/>
          <w:szCs w:val="24"/>
        </w:rPr>
        <w:t xml:space="preserve">42. Достигнутые результаты позволили увеличить показатель доли налоговых поступлений к ВВП до 19,4%, однако этот показатель все еще остается низким. Рост налоговых доходов тормозиться из-за наличия ряда проблем в налоговой системе: (i) неравномерная налоговая нагрузка; (ii) большое количество льгот и освобождений от налогов; (iii) недостаточное использование современных технологий при осуществлении налогового и таможенного администрирования; (iv) коррупция.</w:t>
      </w:r>
    </w:p>
    <w:p>
      <w:pPr>
        <w:spacing w:after="120"/>
        <w:jc w:val="both"/>
      </w:pPr>
      <w:r>
        <w:rPr>
          <w:rFonts w:ascii="Arial" w:cs="Arial" w:eastAsia="Arial" w:hAnsi="Arial"/>
          <w:sz w:val="24"/>
          <w:szCs w:val="24"/>
        </w:rPr>
        <w:t xml:space="preserve">43. Налоговая политика государства в ближайшие годы будет по-прежнему проводиться в условиях дефицита бюджета. В этой связи важнейшей задачей Правительства является создание эффективной и стабильной налоговой системы, обеспечивающей бюджетную устойчивость в среднесрочной и долгосрочной перспективе.</w:t>
      </w:r>
    </w:p>
    <w:p>
      <w:pPr>
        <w:spacing w:after="120"/>
        <w:jc w:val="both"/>
      </w:pPr>
      <w:r>
        <w:rPr>
          <w:rFonts w:ascii="Arial" w:cs="Arial" w:eastAsia="Arial" w:hAnsi="Arial"/>
          <w:sz w:val="24"/>
          <w:szCs w:val="24"/>
        </w:rPr>
        <w:t xml:space="preserve">44. Для выравнивания налоговой нагрузки и обеспечения полноты сбора налогов будут обеспечены следующие меры: (i) разработаны проекты нормативных правовых актов, направленных на упрощение налогового и таможенного администрирования; (ii) сокращен перечень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(iii) внесены изменения в Налоговый кодекс Кыргызской Республики по поэтапному снижению ставок налога с продаж до полной отмены данного налога для поставок, облагаемых НДС, в течение 2013-2016 годов. В целях возмещения потерь бюджета будет повышена ставка налога с продаж для сектора связи, как одного из высокоприбыльных отраслей экономики, а также будет введен налог на сверхприбыль золотодобывающих предприятий.</w:t>
      </w:r>
    </w:p>
    <w:p>
      <w:pPr>
        <w:spacing w:after="120"/>
        <w:jc w:val="both"/>
      </w:pPr>
      <w:r>
        <w:rPr>
          <w:rFonts w:ascii="Arial" w:cs="Arial" w:eastAsia="Arial" w:hAnsi="Arial"/>
          <w:sz w:val="24"/>
          <w:szCs w:val="24"/>
        </w:rPr>
        <w:t xml:space="preserve">45.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непредоставление новых неэффективных и необоснованных льгот и освобождений,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46. Для модернизации налоговой и таможенной служб предусматриваются: (i)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внешнеэкономической деятельности (ВЭД) и таможенными органами; (ii)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47. Для повышения доверия общественности к налоговой и таможенной службам и снижения уровня коррупции планируются: (i) создание центров обработки налоговых деклараций; (ii) оснащение таможенных пунктов пропуска системами видеонаблюдения; (iii) внедрение в органах налоговой и таможенной служб программ по профилактике коррупционных аспектов прохождения службы; (iv) внедрение систематического анкетирования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48. Стабильность и последовательность ранее принятых решений в области налоговой политики, в части неповышения и постепенного снижения в перспективе налогового бремени должны стать стимулом к экономической активизации.</w:t>
      </w:r>
    </w:p>
    <w:p>
      <w:pPr>
        <w:spacing w:after="120"/>
        <w:jc w:val="both"/>
      </w:pPr>
      <w:r>
        <w:rPr>
          <w:rFonts w:ascii="Arial" w:cs="Arial" w:eastAsia="Arial" w:hAnsi="Arial"/>
          <w:sz w:val="24"/>
          <w:szCs w:val="24"/>
        </w:rPr>
        <w:t xml:space="preserve">49. Налоговое администрирование нуждается в дальнейшем совершенствовании, программа по улучшению администрирования будет направлена на оптимизацию взаимодействия налоговых органов и субъектов предпринимательства. Совершенствование системы налоговой отчетности в целях сокращения количества отчетов и упорядочения периодичности их представления, а также внедрение автоматизированной системы налоговых проверок на основе критериев риска повысят эффективность налогового администрирования и существенно сократят время и ресурсы, затрачиваемые бизнесом на налоговые процедуры.</w:t>
      </w:r>
    </w:p>
    <w:p>
      <w:pPr>
        <w:spacing w:after="120"/>
        <w:jc w:val="both"/>
      </w:pPr>
      <w:r>
        <w:rPr>
          <w:rFonts w:ascii="Arial" w:cs="Arial" w:eastAsia="Arial" w:hAnsi="Arial"/>
          <w:sz w:val="24"/>
          <w:szCs w:val="24"/>
        </w:rPr>
        <w:t xml:space="preserve">5.2.2. Управление государственными финансами и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Произошедшие в стране общественно-политические события оказали влияние на бюджет 2010 года, что было обусловлено значительным ростом дополнительных расходов бюджета, в основном на восстановительные мероприятия после апрельских и июньских событий на юге страны и социальные выплаты пострадавшим. Тем не менее, в результате конструктивного сотрудничества Правительства с донорским сообществом по вопросам поддержки бюджета, дефицит государственного бюджета в 2010 году сложился в размере 4,9% к ВВП, что оказалось ниже ожидаемого уровня на 0,7%.</w:t>
      </w:r>
    </w:p>
    <w:p>
      <w:pPr>
        <w:spacing w:after="120"/>
        <w:jc w:val="both"/>
      </w:pPr>
      <w:r>
        <w:rPr>
          <w:rFonts w:ascii="Arial" w:cs="Arial" w:eastAsia="Arial" w:hAnsi="Arial"/>
          <w:sz w:val="24"/>
          <w:szCs w:val="24"/>
        </w:rPr>
        <w:t xml:space="preserve">51. В 2011 году расходы бюджета существенно увеличились в связи с повышением заработной платы работникам социальной сферы и правоохранительных органов, восстановлением южного региона страны и увеличением финансирования проектов развития. Для снижения дефицита бюджета Правительством был разработан ряд мер для привлечения дополнительных источников доходов в бюджет, что наряду с ростом поступления налоговых доходов дало положительные результаты по сдерживанию роста бюджетного дефицита. При планируемом первоначально показателе дефицита в 2011 году на уровне 7,5% к ВВП, фактически данный показатель сложился на уровне 5%.</w:t>
      </w:r>
    </w:p>
    <w:p>
      <w:pPr>
        <w:spacing w:after="120"/>
        <w:jc w:val="both"/>
      </w:pPr>
      <w:r>
        <w:rPr>
          <w:rFonts w:ascii="Arial" w:cs="Arial" w:eastAsia="Arial" w:hAnsi="Arial"/>
          <w:sz w:val="24"/>
          <w:szCs w:val="24"/>
        </w:rPr>
        <w:t xml:space="preserve">52. Значительный бюджетный дефицит диктует необходимость его оптимизации, как путем улучшения традиционных механизмов, так и поиска альтернативных источников доходов.</w:t>
      </w:r>
    </w:p>
    <w:p>
      <w:pPr>
        <w:spacing w:after="120"/>
        <w:jc w:val="both"/>
      </w:pPr>
      <w:r>
        <w:rPr>
          <w:rFonts w:ascii="Arial" w:cs="Arial" w:eastAsia="Arial" w:hAnsi="Arial"/>
          <w:sz w:val="24"/>
          <w:szCs w:val="24"/>
        </w:rPr>
        <w:t xml:space="preserve">53. В целом, бюджет страны продолжает оставаться социально-ориентированным. Рост социально уязвимой группы населения и нарастание бедности в 2010 году повлияли на увеличение социальных расходов бюджета в 2011 году до 43%-45% от общих расходов республиканского бюджета.</w:t>
      </w:r>
    </w:p>
    <w:p>
      <w:pPr>
        <w:spacing w:after="120"/>
        <w:jc w:val="both"/>
      </w:pPr>
      <w:r>
        <w:rPr>
          <w:rFonts w:ascii="Arial" w:cs="Arial" w:eastAsia="Arial" w:hAnsi="Arial"/>
          <w:sz w:val="24"/>
          <w:szCs w:val="24"/>
        </w:rPr>
        <w:t xml:space="preserve">54. Главная цель политики государственных расходов на ближайшие три года будет заключаться в полном и своевременном финансировании всех социальных гарантий государства и создании благоприятных условий для экономического роста в интересах бедных слоев населения.</w:t>
      </w:r>
    </w:p>
    <w:p>
      <w:pPr>
        <w:spacing w:after="120"/>
        <w:jc w:val="both"/>
      </w:pPr>
      <w:r>
        <w:rPr>
          <w:rFonts w:ascii="Arial" w:cs="Arial" w:eastAsia="Arial" w:hAnsi="Arial"/>
          <w:sz w:val="24"/>
          <w:szCs w:val="24"/>
        </w:rPr>
        <w:t xml:space="preserve">55. Правительство признает важность начала бюджетной консолидации. Стратегия консолидации включает меры по увеличению доходов и сдерживанию роста расходов.</w:t>
      </w:r>
    </w:p>
    <w:p>
      <w:pPr>
        <w:spacing w:after="120"/>
        <w:jc w:val="both"/>
      </w:pPr>
      <w:r>
        <w:rPr>
          <w:rFonts w:ascii="Arial" w:cs="Arial" w:eastAsia="Arial" w:hAnsi="Arial"/>
          <w:sz w:val="24"/>
          <w:szCs w:val="24"/>
        </w:rPr>
        <w:t xml:space="preserve">56. Увеличение бюджетных доходов в среднесрочной перспективе будет обеспечено за счет: (i) улучшения таможенного администрирования через перевод большинства импортируемых товаров с системы таможенного оформления на основе веса на ценовую основу; (ii) отмены отдельных льгот по НДС; (iii) пересмотра акцизной политики; (iv) за счет реформы неналоговых платежей, направленной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57. В целях сокращения дефицита бюджета и оптимизации расходов, перед Правительством стоят следующие задачи: (i) совершенствование планирования бюджета; (ii) усиление контроля эффективности государственных расходов; (iii) совершенствование бюджетного законодательства.</w:t>
      </w:r>
    </w:p>
    <w:p>
      <w:pPr>
        <w:spacing w:after="120"/>
        <w:jc w:val="both"/>
      </w:pPr>
      <w:r>
        <w:rPr>
          <w:rFonts w:ascii="Arial" w:cs="Arial" w:eastAsia="Arial" w:hAnsi="Arial"/>
          <w:sz w:val="24"/>
          <w:szCs w:val="24"/>
        </w:rPr>
        <w:t xml:space="preserve">58. Основным приоритетом будет реформирование системы управления государственными финансами, повышение бюджетной дисциплины и прозрачности использования бюджетных ресурсов.</w:t>
      </w:r>
    </w:p>
    <w:p>
      <w:pPr>
        <w:spacing w:after="120"/>
        <w:jc w:val="both"/>
      </w:pPr>
      <w:r>
        <w:rPr>
          <w:rFonts w:ascii="Arial" w:cs="Arial" w:eastAsia="Arial" w:hAnsi="Arial"/>
          <w:sz w:val="24"/>
          <w:szCs w:val="24"/>
        </w:rPr>
        <w:t xml:space="preserve">59. Меры реформирования управления государственными финансами включают: (i) разработку системы оценок экономической эффективности использования бюджетных ресурсов; (ii) поэтапный переход на программное бюджетирование; (iii) комплексное обучение сотрудников пилотных министерств по проведению секторального анализа и разработке программного бюджета; (iv) модернизацию Казначейства, включающую централизацию управления государственными финансами через подключение Казначейства к системе пакетного клиринга и перехода на Единый казначейский счет; (v) внедрение электронных торгов для проведения государственных закупок; (vi) создание единой централизованной системы управления финансовыми ресурсами на цели капитального строительства (УКС).</w:t>
      </w:r>
    </w:p>
    <w:p>
      <w:pPr>
        <w:spacing w:after="120"/>
        <w:jc w:val="both"/>
      </w:pPr>
      <w:r>
        <w:rPr>
          <w:rFonts w:ascii="Arial" w:cs="Arial" w:eastAsia="Arial" w:hAnsi="Arial"/>
          <w:sz w:val="24"/>
          <w:szCs w:val="24"/>
        </w:rPr>
        <w:t xml:space="preserve">60. Планируется пересмотреть и обновить "Среднесрочный план действий по реформированию системы управления государственными финансами Кыргызской Республики на 2009-2013 годы" на основе достигнутых результатов, оценки дальнейших перспектив, с внедрением надежной системы мониторинга и оценки реализации реформ.</w:t>
      </w:r>
    </w:p>
    <w:p>
      <w:pPr>
        <w:spacing w:after="120"/>
        <w:jc w:val="both"/>
      </w:pPr>
      <w:r>
        <w:rPr>
          <w:rFonts w:ascii="Arial" w:cs="Arial" w:eastAsia="Arial" w:hAnsi="Arial"/>
          <w:sz w:val="24"/>
          <w:szCs w:val="24"/>
        </w:rPr>
        <w:t xml:space="preserve">61. Процесс реформирования направлен на достижение трех обширных результатов: (i) достоверный бюджет, предоставляющий предсказуемые ресурсы; (ii) улучшение контроля для создания системы отчетности управленческого звена; (iii) улучшение связи между приоритетами политики и годовым, а также среднесрочным планированием.</w:t>
      </w:r>
    </w:p>
    <w:p>
      <w:pPr>
        <w:spacing w:after="120"/>
        <w:jc w:val="both"/>
      </w:pPr>
      <w:r>
        <w:rPr>
          <w:rFonts w:ascii="Arial" w:cs="Arial" w:eastAsia="Arial" w:hAnsi="Arial"/>
          <w:sz w:val="24"/>
          <w:szCs w:val="24"/>
        </w:rPr>
        <w:t xml:space="preserve">62. В свете последних преобразований возникла необходимость разработки единого концептуального документа, регулирующего основы управления государственными финансами. В этой связи будет проведена работа по разработке Бюджетного кодекса Кыргызской Республики, направленного на обеспечение организации эффективной и прозрачной системы управления государственными финансами, создание надлежащих правовых норм для формирования бюджета, отвечающего национальным интересам, и внедрение мировых передовых норм бюджетной системы.</w:t>
      </w:r>
    </w:p>
    <w:p>
      <w:pPr>
        <w:spacing w:after="120"/>
        <w:jc w:val="both"/>
      </w:pPr>
      <w:r>
        <w:rPr>
          <w:rFonts w:ascii="Arial" w:cs="Arial" w:eastAsia="Arial" w:hAnsi="Arial"/>
          <w:sz w:val="24"/>
          <w:szCs w:val="24"/>
        </w:rPr>
        <w:t xml:space="preserve">63. В целях совершенствования межбюджетных отношений будет осуществлен переход на 2-х уровневый бюджет, где в системе межбюджетных отношений понятие "местные бюджеты" будет включать бюджеты местного сообщества аила, поселка, города, формирование, утверждение и исполнение которого осуществляют органы местного самоуправления. Будут пересмотрены нормативы отчисления от общегосударственных налогов (подоходный налог, налоги на патентной основе), на рост поступления которых местные органы самоуправления могут оказывать влияние через создание рабочих мест и создание условий для развития малого бизнеса. Это позволит усилить местные бюджеты за счет собственных средств, повысить заинтересованность органов местного самоуправления в увеличении доходного потенциала и улучшить эффективность расходов. Реализация реформы финансовой децентрализации предполагает формирование и исполнение местных бюджетов непосредственно органами местного самоуправления.</w:t>
      </w:r>
    </w:p>
    <w:p>
      <w:pPr>
        <w:spacing w:after="120"/>
        <w:jc w:val="both"/>
      </w:pPr>
      <w:r>
        <w:rPr>
          <w:rFonts w:ascii="Arial" w:cs="Arial" w:eastAsia="Arial" w:hAnsi="Arial"/>
          <w:sz w:val="24"/>
          <w:szCs w:val="24"/>
        </w:rPr>
        <w:t xml:space="preserve">64. Для стимулирования повышения экономического потенциала местных сообществ, повышения роли и ответственности органов местного самоуправления за эффективность управления местными бюджетами в области межбюджетных отношений будет продолжена работа по следующим направлениям: (i) совершенствование правовых актов, регулирующих систему межбюджетных отношений, (ii) совершенствование системы межбюджетных трансфертов с учетом среднесрочного планирования местных бюджетов.</w:t>
      </w:r>
    </w:p>
    <w:p>
      <w:pPr>
        <w:spacing w:after="120"/>
        <w:jc w:val="both"/>
      </w:pPr>
      <w:r>
        <w:rPr>
          <w:rFonts w:ascii="Arial" w:cs="Arial" w:eastAsia="Arial" w:hAnsi="Arial"/>
          <w:sz w:val="24"/>
          <w:szCs w:val="24"/>
        </w:rPr>
        <w:t xml:space="preserve">65. На постоянной основе будет продолжена работа в сфере обеспечения прозрачности государственных финансов, сотрудничества с рядом неправительственных общественных организаций по вопросам бюджетной прозрачности и доступа граждан к бюджетной информации. В этом направлении будет уделено особое внимание подготовке ежегодного Гражданского бюджета.</w:t>
      </w:r>
    </w:p>
    <w:p>
      <w:pPr>
        <w:spacing w:after="120"/>
        <w:jc w:val="both"/>
      </w:pPr>
      <w:r>
        <w:rPr>
          <w:rFonts w:ascii="Arial" w:cs="Arial" w:eastAsia="Arial" w:hAnsi="Arial"/>
          <w:sz w:val="24"/>
          <w:szCs w:val="24"/>
        </w:rPr>
        <w:t xml:space="preserve">66. Проведение запланированных реформ в сфере управления государственными финансами и бюджетная консолидация, включающие меры по увеличению доходов и сдерживанию роста расходов в среднесрочной перспективе, будут направлены на доведение дефицита бюджета в 2014 году до 2,6% к ВВП. Кроме того, в среднесрочной перспективе ожидается, что текущие расходы будут покрываться только за счет текущих доходов.</w:t>
      </w:r>
    </w:p>
    <w:p>
      <w:pPr>
        <w:spacing w:after="120"/>
        <w:jc w:val="both"/>
      </w:pPr>
      <w:r>
        <w:rPr>
          <w:rFonts w:ascii="Arial" w:cs="Arial" w:eastAsia="Arial" w:hAnsi="Arial"/>
          <w:sz w:val="24"/>
          <w:szCs w:val="24"/>
        </w:rPr>
        <w:t xml:space="preserve">5.3. Стратегия управления внешним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Кыргызская Республика все еще остается зависимой от государственных заимствований и чувствительной к рискам, связанным с государственным долгом. Наряду с достижениями в области управления государственным долгом, достигнутыми в 2002-2006 годах, кризис в мировой экономике в 2008-2009 годах, а также события внутри страны в 2010 году привели к активному аккумулированию государственного долга. Увеличение размера государственного долга обусловлено привлечением крупных займов от Российской Федерации и Китая на развитие энергетического сектора и транспортной инфраструктуры, а также весьма ощутимой девальвацией кыргызского сома. В 2011 году государственный внешний долг возрос на 0,7 млрд. долл. США и составил 47,7% к ВВП (2,8 млрд. долл. США) относительно 2008 года.</w:t>
      </w:r>
    </w:p>
    <w:p>
      <w:pPr>
        <w:spacing w:after="120"/>
        <w:jc w:val="both"/>
      </w:pPr>
      <w:r>
        <w:rPr>
          <w:rFonts w:ascii="Arial" w:cs="Arial" w:eastAsia="Arial" w:hAnsi="Arial"/>
          <w:sz w:val="24"/>
          <w:szCs w:val="24"/>
        </w:rPr>
        <w:t xml:space="preserve">68. В целях обеспечения устойчивости государственного долга и достижения его эффективного управления принята Среднесрочная стратегия управления государственным долгом на 2012-2014 годы, нацеленная на формирование оптимальной структуры государственного долга в среднесрочной перспективе. Стратегия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69. Для дальнейшего совершенствования системы управления государственным долгом, формирования оптимальной структуры государственного долга и обеспечения устойчивости долга, политика Правительства будет направлена на: (i) своевременное обслуживание государственного долга; (ii) привлечение внешних кредитов и грантов в соответствии с приоритетами государства; (iii) обеспечение соблюдения степени минимальной льготности (фант-элемент) для всех новых внешних заимствований на уровне 35 процентов; (iv) проведение мероприятий по снижению уровня внешнего долга путем проведения переговоров со странами-кредиторами в двустороннем формате по рассмотрению вопроса о предоставлении реструктуризации долга, проведение своп-операций (обмен долга на активы, развитие и т.д.), а также его списании или преобразовании в грант; (v) наращивание доли внутреннего компонента государственных заимствований посредством развития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Управление активами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До 2010 года осуществлялась пассивная политика управления государственными пакетами акций. Усиление контроля за финансово-хозяйственной деятельностью компаний позволило увеличить поступление доходов по дивидендам на государственную долю акций в 2011 году до 2,9 млрд. сомов (более 4% от общих доходов республиканского бюджета). С 2011 года вводится практика перечисления государственными предприятиями не менее половины полученной за год чистой прибыли в республиканский бюджет. Действия Правительства в 2010-2011 годах по вопросам приватизации государственного имущества были направлены на повышение прозрачности и подконтрольности всего процесса перед Жогорку Кенешем Кыргызской Республики и гражданским обществом. После апрельских событий 2010 года была отменена порочная практика проведения аукционов и конкурсов без установления цены, что позволяло проводить инсайдерские сделки и реализовывать объекты по заниженным ценам. Был пересмотрен структурный состав комиссий по приватизации, в который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 В настоящее время более 90 процентов государственных объектов преобразовано в частную собственность.</w:t>
      </w:r>
    </w:p>
    <w:p>
      <w:pPr>
        <w:spacing w:after="120"/>
        <w:jc w:val="both"/>
      </w:pPr>
      <w:r>
        <w:rPr>
          <w:rFonts w:ascii="Arial" w:cs="Arial" w:eastAsia="Arial" w:hAnsi="Arial"/>
          <w:sz w:val="24"/>
          <w:szCs w:val="24"/>
        </w:rPr>
        <w:t xml:space="preserve">71. В распоряжении государства остаются стратегические предприятия, приватизация которых осуществляется в соответствии с утвержденными Жогорку Кенешем Кыргызской Республики концепциями и программами. На сегодняшний день проблемы управления государственной собственностью заключаются: (i) в низкой эффективности осуществления государством прав акционера; (ii) в неэффективном менеджменте государственных предприятий, что стало одной из причин ухудшения финансового состояния большинства компаний с государственным участием; (iii) в несбалансированной структуре госсобственности.</w:t>
      </w:r>
    </w:p>
    <w:p>
      <w:pPr>
        <w:spacing w:after="120"/>
        <w:jc w:val="both"/>
      </w:pPr>
      <w:r>
        <w:rPr>
          <w:rFonts w:ascii="Arial" w:cs="Arial" w:eastAsia="Arial" w:hAnsi="Arial"/>
          <w:sz w:val="24"/>
          <w:szCs w:val="24"/>
        </w:rPr>
        <w:t xml:space="preserve">72. В целях улучшения качества управления государственной собственностью, которое позволит создать условия для роста доходности государственного имущества, будет осуществлен ряд мер, направленных на внедрение новых принципов управления активами страны. На законодательной основе будут определены критерии и требования для отбора: (i) компаний на доверительное управление; (ii) топ-менеджеров, консалтинговых, аудиторских компаний; (iii) сотрудников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73. С учетом практики и международного опыта по вопросам приватизации, использования и управления госимуществом будет усовершенствована законодательная база, а также будут законодательно определены источники финансирования для развития системы управления государственным имуществом. Будут пересмотрены приоритеты, определенные в области политики управления государственными активами. Получит развитие принцип государственного и частного партнерства.</w:t>
      </w:r>
    </w:p>
    <w:p>
      <w:pPr>
        <w:spacing w:after="120"/>
        <w:jc w:val="both"/>
      </w:pPr>
      <w:r>
        <w:rPr>
          <w:rFonts w:ascii="Arial" w:cs="Arial" w:eastAsia="Arial" w:hAnsi="Arial"/>
          <w:sz w:val="24"/>
          <w:szCs w:val="24"/>
        </w:rPr>
        <w:t xml:space="preserve">74. Планируется полномасштабная инвентаризация всех государственных активов для разработки и ведения реестра государственной собственности. Будет также разработана классификация государственных активов. Для каждого вида собственности, в зависимости от целей использования данного вида государственного актива, будет разработана система инструментов управления. По целям использования государственной собственности будут выделены 3 группы: (i) активы, напрямую используемые государством (здания администрации, инфраструктурные сооружения и т.д.), - с целью повышения эффективности их использования и сокращения издержек; (ii) активы социального назначения (жилищный фонд, муниципальные активы) - с целью сокращения субсидий; (iii) остаточные активы, используемые для получения прибыли (различная инвестиционная собственность), - с целью максимизации прибыли.</w:t>
      </w:r>
    </w:p>
    <w:p>
      <w:pPr>
        <w:spacing w:after="120"/>
        <w:jc w:val="both"/>
      </w:pPr>
      <w:r>
        <w:rPr>
          <w:rFonts w:ascii="Arial" w:cs="Arial" w:eastAsia="Arial" w:hAnsi="Arial"/>
          <w:sz w:val="24"/>
          <w:szCs w:val="24"/>
        </w:rPr>
        <w:t xml:space="preserve">75. Правительством будет внедрена эффективная стратегия управления государственной собственностью на основе централизации функций управления активами и распределения дивидендов.</w:t>
      </w:r>
    </w:p>
    <w:p>
      <w:pPr>
        <w:spacing w:after="120"/>
        <w:jc w:val="both"/>
      </w:pPr>
      <w:r>
        <w:rPr>
          <w:rFonts w:ascii="Arial" w:cs="Arial" w:eastAsia="Arial" w:hAnsi="Arial"/>
          <w:sz w:val="24"/>
          <w:szCs w:val="24"/>
        </w:rPr>
        <w:t xml:space="preserve">76. На сегодняшний день экономика Кыргызстана остро нуждается в новых стимулах экономического развития, а имеющиеся активы не мобилизованы на решение этой задачи. Одним из наиболее оптимальных вариантов решения этой проблемы является вовлечение части государственного пакета акций золотодобывающей компании "Центерра Голд Инк." Кыргызская Республика владеет 33% акций компании "Центерра Голд Инк.", текущая рыночная стоимость которых составляет около 1,6 млрд. долл. США. Данные активы необходимо использовать для получения максимальной прибыли. Для этого Правительство планирует продать часть акций для получения средств и их инвестирования в приоритетные проекты национального значения путем создания Государственного банка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Финансовый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Банковский и небанковский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Развитие банковской системы Кыргызской Республики в период с 2008 по 2010 годы сопровождалось влиянием внешних и внутренних факторов. Так, в 2010 году произошло снижение показателя финансового посредничества. По итогам 2011 года показатель финансового посредничества составил 24,4%.</w:t>
      </w:r>
    </w:p>
    <w:p>
      <w:pPr>
        <w:spacing w:after="120"/>
        <w:jc w:val="both"/>
      </w:pPr>
      <w:r>
        <w:rPr>
          <w:rFonts w:ascii="Arial" w:cs="Arial" w:eastAsia="Arial" w:hAnsi="Arial"/>
          <w:sz w:val="24"/>
          <w:szCs w:val="24"/>
        </w:rPr>
        <w:t xml:space="preserve">78. Объем депозитной базы коммерческих банков, снизившийся в 2010 году, начал в 2011 году расти и увеличился на 12,9%.</w:t>
      </w:r>
    </w:p>
    <w:p>
      <w:pPr>
        <w:spacing w:after="120"/>
        <w:jc w:val="both"/>
      </w:pPr>
      <w:r>
        <w:rPr>
          <w:rFonts w:ascii="Arial" w:cs="Arial" w:eastAsia="Arial" w:hAnsi="Arial"/>
          <w:sz w:val="24"/>
          <w:szCs w:val="24"/>
        </w:rPr>
        <w:t xml:space="preserve">79. Стоимость кредитных ресурсов по-прежнему остается достаточно высокой, снижение процентных ставок происходит незначительно.</w:t>
      </w:r>
    </w:p>
    <w:p>
      <w:pPr>
        <w:spacing w:after="120"/>
        <w:jc w:val="both"/>
      </w:pPr>
      <w:r>
        <w:rPr>
          <w:rFonts w:ascii="Arial" w:cs="Arial" w:eastAsia="Arial" w:hAnsi="Arial"/>
          <w:sz w:val="24"/>
          <w:szCs w:val="24"/>
        </w:rPr>
        <w:t xml:space="preserve">80. Для сектора небанковских финансово-кредитных учреждений также свойственны высокая стоимость кредитов и сверхкраткосрочный характер заимствований.</w:t>
      </w:r>
    </w:p>
    <w:p>
      <w:pPr>
        <w:spacing w:after="120"/>
        <w:jc w:val="both"/>
      </w:pPr>
      <w:r>
        <w:rPr>
          <w:rFonts w:ascii="Arial" w:cs="Arial" w:eastAsia="Arial" w:hAnsi="Arial"/>
          <w:sz w:val="24"/>
          <w:szCs w:val="24"/>
        </w:rPr>
        <w:t xml:space="preserve">81. Несмотря на рост кредитного портфеля коммерческих банков в 2011 году по сравнению с 2010 годом (на 18,3%), проблемы развития банковского сектора связаны с продолжением судебных процессов в проблемных банках, а также с нерешенностью вопросов по национализированным объектам, являющимся залогом по банковским кредитам. В системе кредитных союзов и микрофинансовых организаций недостаточно финансовых ресурсов для расширения объемов оборотных средств. Недостаточно решенной остается проблема слабого качества управления и организации деятельности в небанковских финансово-кредитных учреждениях и сохранение высоких процентных ставок по кредитам.</w:t>
      </w:r>
    </w:p>
    <w:p>
      <w:pPr>
        <w:spacing w:after="120"/>
        <w:jc w:val="both"/>
      </w:pPr>
      <w:r>
        <w:rPr>
          <w:rFonts w:ascii="Arial" w:cs="Arial" w:eastAsia="Arial" w:hAnsi="Arial"/>
          <w:sz w:val="24"/>
          <w:szCs w:val="24"/>
        </w:rPr>
        <w:t xml:space="preserve">82. Для решения обозначенных проблем политика в данном секторе будет сфокусирована на следующих направлениях: (i) укрепление устойчивости банковской и небанковской системы для повышения доступности финансовых услуг; (ii) повышение прозрачности системы управления и регулирования банками; (iii) привлечение крупных зарубежных банков; (iv) повышение доступности финансовых услуг через внедрение новых разнообразных финансовых инструментов, удовлетворяющих потребности клиентов; (v) выполнение обязательств в рамках меморандума об экономической финансовой политике на 2012-2014 годы по вопросу открытого акционерного общества "Залкар Банк" и разработке Банковского кодекса Кыргызской Республики; (vi) разработка стратегии продажи открытого акционерного общества "РСК Банк".</w:t>
      </w:r>
    </w:p>
    <w:p>
      <w:pPr>
        <w:spacing w:after="120"/>
        <w:jc w:val="both"/>
      </w:pPr>
      <w:r>
        <w:rPr>
          <w:rFonts w:ascii="Arial" w:cs="Arial" w:eastAsia="Arial" w:hAnsi="Arial"/>
          <w:sz w:val="24"/>
          <w:szCs w:val="24"/>
        </w:rPr>
        <w:t xml:space="preserve">83. Меры по реализации политики укрепления устойчивости финансовой системы будут приняты в части разработки и утверждения новых правовых механизмов конкуренции и предотвращения действий по ограничению свободы коммерческой деятельности в банковской сфере, внедрения новой системы оценки рисков.</w:t>
      </w:r>
    </w:p>
    <w:p>
      <w:pPr>
        <w:spacing w:after="120"/>
        <w:jc w:val="both"/>
      </w:pPr>
      <w:r>
        <w:rPr>
          <w:rFonts w:ascii="Arial" w:cs="Arial" w:eastAsia="Arial" w:hAnsi="Arial"/>
          <w:sz w:val="24"/>
          <w:szCs w:val="24"/>
        </w:rPr>
        <w:t xml:space="preserve">84. В части небанковского сектора будут внесены изменения в Закон Кыргызской Республики "О микрофинансовых организациях", направленные на расширение перечня операций и услуг микрофинансовых организаций.</w:t>
      </w:r>
    </w:p>
    <w:p>
      <w:pPr>
        <w:spacing w:after="120"/>
        <w:jc w:val="both"/>
      </w:pPr>
      <w:r>
        <w:rPr>
          <w:rFonts w:ascii="Arial" w:cs="Arial" w:eastAsia="Arial" w:hAnsi="Arial"/>
          <w:sz w:val="24"/>
          <w:szCs w:val="24"/>
        </w:rPr>
        <w:t xml:space="preserve">85. Для повышения прозрачности системы управления и регулирования банками будут приняты меры по: (i) повышению ответственности акционеров и органов управления банков за публичное раскрытие предусмотренной законодательством информации по вопросам деятельности коммерческого банка, включая данные о его финансовом положении, структуре собственников и управления; (ii) внедрению механизма участия в Системе защиты депозитов для банков, созданных путем реструктуризации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86. Повышение доступности финансовых услуг будет осуществлено посредством: (i) реализации исламских принципов банковского дела и внедрения инструментов исламского финансирования; (ii) принятия системы оценки рисков при внедрении новых банковских продуктов, в том числе основанных на инновационных технологиях; (iii) разработки механизма интеграции системы межбанковских расчетов с торговыми системами на финансовых рынках; (iv) внедрения инфраструктуры по приему платежей от населения.</w:t>
      </w:r>
    </w:p>
    <w:p>
      <w:pPr>
        <w:spacing w:after="120"/>
        <w:jc w:val="both"/>
      </w:pPr>
      <w:r>
        <w:rPr>
          <w:rFonts w:ascii="Arial" w:cs="Arial" w:eastAsia="Arial" w:hAnsi="Arial"/>
          <w:sz w:val="24"/>
          <w:szCs w:val="24"/>
        </w:rPr>
        <w:t xml:space="preserve">87. Кроме того, будет реализован план мероприятий по передаче (продажи) общества с ограниченной ответственностью "Финансовая компания по поддержке и развитию кредитных союзов" кредитным союзам.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Фондовый и страховой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За 3 года собственный капитал страховых организаций увеличился на 18,7%, совокупные активы страховых организаций увеличились на 21,9%, обязательства (включая страховые резервы) увеличились на 2,2%, объем страховых премий увеличился на 48,3%, а страховые выплаты на - 14,5%.</w:t>
      </w:r>
    </w:p>
    <w:p>
      <w:pPr>
        <w:spacing w:after="120"/>
        <w:jc w:val="both"/>
      </w:pPr>
      <w:r>
        <w:rPr>
          <w:rFonts w:ascii="Arial" w:cs="Arial" w:eastAsia="Arial" w:hAnsi="Arial"/>
          <w:sz w:val="24"/>
          <w:szCs w:val="24"/>
        </w:rPr>
        <w:t xml:space="preserve">89. Для фондового рынка важным событием стало принятие в 2009 году нового Закона Кыргызской Республики "О рынке ценных бумаг". Для расширения числа инструментов фондового рынка приняты документы, регулирующие выпуск ценных бумаг по исламским принципам финансирования.</w:t>
      </w:r>
    </w:p>
    <w:p>
      <w:pPr>
        <w:spacing w:after="120"/>
        <w:jc w:val="both"/>
      </w:pPr>
      <w:r>
        <w:rPr>
          <w:rFonts w:ascii="Arial" w:cs="Arial" w:eastAsia="Arial" w:hAnsi="Arial"/>
          <w:sz w:val="24"/>
          <w:szCs w:val="24"/>
        </w:rPr>
        <w:t xml:space="preserve">90. Возможности рынка корпоративных облигаций и государственных ценных бумаг используются недостаточно, остается неразвитым уровень корпоративного управления в акционерных компаниях. Отсутствуют надежные инструменты долгосрочного размещения страховых резервов.</w:t>
      </w:r>
    </w:p>
    <w:p>
      <w:pPr>
        <w:spacing w:after="120"/>
        <w:jc w:val="both"/>
      </w:pPr>
      <w:r>
        <w:rPr>
          <w:rFonts w:ascii="Arial" w:cs="Arial" w:eastAsia="Arial" w:hAnsi="Arial"/>
          <w:sz w:val="24"/>
          <w:szCs w:val="24"/>
        </w:rPr>
        <w:t xml:space="preserve">91. Приоритетом в решении существующих проблем будет расширение возможностей фондового, страхового рынков и негосударственных пенсионных фондов. Для этого планируется: (i) совершенствование нормативной базы для внедрения новых финансовых инструментов на рынке корпоративных ценных бумаг и введения новых обязательных видов страхования (страхования транспорта, жилья, нотариусов, аудиторов); (ii) внесение изменений в Закон Кыргызской Республики "О негосударственных пенсионных фондах в Кыргызской Республике", предусматривающий деятельность негосударственных пенсионных фондов в качестве участника по обязательному накопительному пенсионному страхованию.</w:t>
      </w:r>
    </w:p>
    <w:p>
      <w:pPr>
        <w:spacing w:after="120"/>
        <w:jc w:val="both"/>
      </w:pPr>
      <w:r>
        <w:rPr>
          <w:rFonts w:ascii="Arial" w:cs="Arial" w:eastAsia="Arial" w:hAnsi="Arial"/>
          <w:sz w:val="24"/>
          <w:szCs w:val="24"/>
        </w:rPr>
        <w:t xml:space="preserve">92. Для расширения инфраструктуры и улучшения информационного обеспечения рынка будут приняты следующие меры: (i) выпущены и размещены через фондовые биржи государственные и муниципальные ценные бумаги для решения вопросов по финансированию дефицита бюджета, национальных и локальных инвестиционных проектов; (ii) торговля государственными ценными бумагами будет переведена на торговую площадку лицензированных организаторов торговли ценными бумагами; (iii) приняты нормативные акты, стимулирующие создание гарантийных фондов и института актуариев; (iv) разработаны нормативные акты по созданию государственной перестраховочной компании, которая могла бы покрыть крупные риски; (v) приняты нормативные акты по увеличению минимальных размеров уставных капиталов страховых компаний; (vi) внесены изменения в нормативные акты страны для унификации законодательства государств-участников ЕврАзЭС и СНГ по рынку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Экономические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Энергетика Кыргызской Республики на протяжении ряда лет сталкивается с многочисленными проблемами. Уровень коммерческих и технических потерь является неприемлемо высоким. Правительство в последние годы предприняло ряд результативных мер, что позволило сократить потери, но позитивные изменения происходят очень медленно. Проблемным местом остается нехватка качественного независимого анализа производства и распределения электроэнергии, потерь, тарифов, структуры потребления, энергоснабжения крупных потребителей и т.д. Также необходим независимый анализ корпоративного управления.</w:t>
      </w:r>
    </w:p>
    <w:p>
      <w:pPr>
        <w:spacing w:after="120"/>
        <w:jc w:val="both"/>
      </w:pPr>
      <w:r>
        <w:rPr>
          <w:rFonts w:ascii="Arial" w:cs="Arial" w:eastAsia="Arial" w:hAnsi="Arial"/>
          <w:sz w:val="24"/>
          <w:szCs w:val="24"/>
        </w:rPr>
        <w:t xml:space="preserve">94. Финансовое положение энергетических предприятий неблагополучное. Основной причиной являются высокие и не всегда обоснованные издержки предприятий. Немаловажное значение имеют фиксированные социально ориентированные тарифы, снижающие экономически необходимый уровень доходов.</w:t>
      </w:r>
    </w:p>
    <w:p>
      <w:pPr>
        <w:spacing w:after="120"/>
        <w:jc w:val="both"/>
      </w:pPr>
      <w:r>
        <w:rPr>
          <w:rFonts w:ascii="Arial" w:cs="Arial" w:eastAsia="Arial" w:hAnsi="Arial"/>
          <w:sz w:val="24"/>
          <w:szCs w:val="24"/>
        </w:rPr>
        <w:t xml:space="preserve">95. Производство электрической и тепловой энергии зависит от стоимости импортируемых углеводородов, цены на которые формируются рынком. При внутренних фиксированных ценах на электро- и теплоэнергию это создает финансовый разрыв, требующий постоянных бюджетных дотаций. Установленная структура цен на первичные топливно-энергетические ресурсы поощряет население к использованию электрической энергии для отопления, как самой доступной из всех имеющихся (уголь, газ).</w:t>
      </w:r>
    </w:p>
    <w:p>
      <w:pPr>
        <w:spacing w:after="120"/>
        <w:jc w:val="both"/>
      </w:pPr>
      <w:r>
        <w:rPr>
          <w:rFonts w:ascii="Arial" w:cs="Arial" w:eastAsia="Arial" w:hAnsi="Arial"/>
          <w:sz w:val="24"/>
          <w:szCs w:val="24"/>
        </w:rPr>
        <w:t xml:space="preserve">96. Физический и моральный износ достигли размеров, при которых создаются высокие риски для устойчивого функционирования отрасли. Количество аварий и отказов работы энергетического оборудования являются сверхнормативными, особенно в период пиковых сезонных перегрузок.</w:t>
      </w:r>
    </w:p>
    <w:p>
      <w:pPr>
        <w:spacing w:after="120"/>
        <w:jc w:val="both"/>
      </w:pPr>
      <w:r>
        <w:rPr>
          <w:rFonts w:ascii="Arial" w:cs="Arial" w:eastAsia="Arial" w:hAnsi="Arial"/>
          <w:sz w:val="24"/>
          <w:szCs w:val="24"/>
        </w:rPr>
        <w:t xml:space="preserve">97. Качество корпоративного управления на энергетических предприятиях остается низким. Система отбора и мотиваций, приводящая к руководству компаниями высокопрофессиональных и ответственных менеджеров, пока не создана.</w:t>
      </w:r>
    </w:p>
    <w:p>
      <w:pPr>
        <w:spacing w:after="120"/>
        <w:jc w:val="both"/>
      </w:pPr>
      <w:r>
        <w:rPr>
          <w:rFonts w:ascii="Arial" w:cs="Arial" w:eastAsia="Arial" w:hAnsi="Arial"/>
          <w:sz w:val="24"/>
          <w:szCs w:val="24"/>
        </w:rPr>
        <w:t xml:space="preserve">98. Недостаточно решенной остается проблема устойчивого электроснабжения в зимний период в северных областях, когда имеют место пиковые сезонные перегрузки. В последнее время эта проблема обострилась в связи с намерениями некоторых стран выйти из Объединенной энергосистемы стран Центральной Азии (ОЭС ЦА). Отсутствие внутренней высоковольтной линии электропередач, соединяющей юг и север, делает проблему очень острой.</w:t>
      </w:r>
    </w:p>
    <w:p>
      <w:pPr>
        <w:spacing w:after="120"/>
        <w:jc w:val="both"/>
      </w:pPr>
      <w:r>
        <w:rPr>
          <w:rFonts w:ascii="Arial" w:cs="Arial" w:eastAsia="Arial" w:hAnsi="Arial"/>
          <w:sz w:val="24"/>
          <w:szCs w:val="24"/>
        </w:rPr>
        <w:t xml:space="preserve">99. Производство электроэнергии недостаточно диверсифицировано. Оно в высокой степени зависит от гидроэнергетики, слабо используются собственные топливно-энергетические ресурсы и нетрадиционные возобновляемые источники энергии.</w:t>
      </w:r>
    </w:p>
    <w:p>
      <w:pPr>
        <w:spacing w:after="120"/>
        <w:jc w:val="both"/>
      </w:pPr>
      <w:r>
        <w:rPr>
          <w:rFonts w:ascii="Arial" w:cs="Arial" w:eastAsia="Arial" w:hAnsi="Arial"/>
          <w:sz w:val="24"/>
          <w:szCs w:val="24"/>
        </w:rPr>
        <w:t xml:space="preserve">100. Кыргызстан имеет огромный экспортный гидроэнергетический потенциал страны, который может быть источником извлечения прибыли. Уже в ближайшее время экспорт может быть доведен до 3 млрд. кВт/ч., однако эта возможность в значительной мере остается нереализованной.</w:t>
      </w:r>
    </w:p>
    <w:p>
      <w:pPr>
        <w:spacing w:after="120"/>
        <w:jc w:val="both"/>
      </w:pPr>
      <w:r>
        <w:rPr>
          <w:rFonts w:ascii="Arial" w:cs="Arial" w:eastAsia="Arial" w:hAnsi="Arial"/>
          <w:sz w:val="24"/>
          <w:szCs w:val="24"/>
        </w:rPr>
        <w:t xml:space="preserve">101. Предпринятые после 2010 года меры по совершенствованию государственного регулирования предприятий электроэнергетики позволили в определенной мере повысить ответственность компаний и прозрачность их деятельности. Однако коррупциогенные факторы еще остаются, необходимый уровень учета перетоков электроэнергии и соответствующих платежей пока не достигнут. Деятельность Департамента по регулированию топливно-энергетического комплекса (Регулятора) находится в высокой зависимости от неэкономических факторов.</w:t>
      </w:r>
    </w:p>
    <w:p>
      <w:pPr>
        <w:spacing w:after="120"/>
        <w:jc w:val="both"/>
      </w:pPr>
      <w:r>
        <w:rPr>
          <w:rFonts w:ascii="Arial" w:cs="Arial" w:eastAsia="Arial" w:hAnsi="Arial"/>
          <w:sz w:val="24"/>
          <w:szCs w:val="24"/>
        </w:rPr>
        <w:t xml:space="preserve">102. Политика Правительства будет сфокусирована в трех основных направлениях: (i) совершенствование государственного регулирования энергетическим сектором; (ii) улучшение менеджмента на энергетических предприятиях, повышение прозрачности их деятельности; (iii) рост объемов производства и экспорта электроэнергии, повышение устойчивости энергоснабжения, эффективное выполнение текущих проектов и программ.</w:t>
      </w:r>
    </w:p>
    <w:p>
      <w:pPr>
        <w:spacing w:after="120"/>
        <w:jc w:val="both"/>
      </w:pPr>
      <w:r>
        <w:rPr>
          <w:rFonts w:ascii="Arial" w:cs="Arial" w:eastAsia="Arial" w:hAnsi="Arial"/>
          <w:sz w:val="24"/>
          <w:szCs w:val="24"/>
        </w:rPr>
        <w:t xml:space="preserve">103. Для совершенствования государственного регулирования энергетическим сектором будет принят ряд мер, для реализации которых намечено разработать и утвердить соответствующие правовые основы и процедуры.</w:t>
      </w:r>
    </w:p>
    <w:p>
      <w:pPr>
        <w:spacing w:after="120"/>
        <w:jc w:val="both"/>
      </w:pPr>
      <w:r>
        <w:rPr>
          <w:rFonts w:ascii="Arial" w:cs="Arial" w:eastAsia="Arial" w:hAnsi="Arial"/>
          <w:sz w:val="24"/>
          <w:szCs w:val="24"/>
        </w:rPr>
        <w:t xml:space="preserve">104. Четкому разграничению функций выработки политики, регулирования, подотчетности, тарифообразования и взаимоотношений между субъектами энергетической отрасли будет способствовать снижение зависимости Регулятора от ведомственных интересов. Реализация функций Регулятора будет опираться на обновленную методологию расчета себестоимости и тарифов в энергосекторе.</w:t>
      </w:r>
    </w:p>
    <w:p>
      <w:pPr>
        <w:spacing w:after="120"/>
        <w:jc w:val="both"/>
      </w:pPr>
      <w:r>
        <w:rPr>
          <w:rFonts w:ascii="Arial" w:cs="Arial" w:eastAsia="Arial" w:hAnsi="Arial"/>
          <w:sz w:val="24"/>
          <w:szCs w:val="24"/>
        </w:rPr>
        <w:t xml:space="preserve">105. Для электроэнергетических предприятий в течение 2012-2013 года будет создан независимый расчетный центр, осуществляющий учет взаимных перетоков электроэнергии и платежей. Это повысит прозрачность оптовых операций и обеспечит надежность расчетов.</w:t>
      </w:r>
    </w:p>
    <w:p>
      <w:pPr>
        <w:spacing w:after="120"/>
        <w:jc w:val="both"/>
      </w:pPr>
      <w:r>
        <w:rPr>
          <w:rFonts w:ascii="Arial" w:cs="Arial" w:eastAsia="Arial" w:hAnsi="Arial"/>
          <w:sz w:val="24"/>
          <w:szCs w:val="24"/>
        </w:rPr>
        <w:t xml:space="preserve">106. Одной из мер улучшения управления энергокомпаниями станет возможность передачи госпакета акций в управление специализированным управляющим компаниям. Также будут разработаны правовые основы и процедуры, регулирующие передачу подведомственных предприятий и филиалов государственного предприятия "Кыргызжилкоммунсоюз" органам местного самоуправления.</w:t>
      </w:r>
    </w:p>
    <w:p>
      <w:pPr>
        <w:spacing w:after="120"/>
        <w:jc w:val="both"/>
      </w:pPr>
      <w:r>
        <w:rPr>
          <w:rFonts w:ascii="Arial" w:cs="Arial" w:eastAsia="Arial" w:hAnsi="Arial"/>
          <w:sz w:val="24"/>
          <w:szCs w:val="24"/>
        </w:rPr>
        <w:t xml:space="preserve">107. Обеспечение безопасности энергетической деятельности требует обязательного лицензирования, наличия предлицензионных и постлицензионных обязательств субъектов энергетической деятельности и их исполнение.</w:t>
      </w:r>
    </w:p>
    <w:p>
      <w:pPr>
        <w:spacing w:after="120"/>
        <w:jc w:val="both"/>
      </w:pPr>
      <w:r>
        <w:rPr>
          <w:rFonts w:ascii="Arial" w:cs="Arial" w:eastAsia="Arial" w:hAnsi="Arial"/>
          <w:sz w:val="24"/>
          <w:szCs w:val="24"/>
        </w:rPr>
        <w:t xml:space="preserve">108. Для совершенствования финансовой дисциплины, сокращения дебиторской задолженности потребителей электроэнергии будут приняты законодательные нормы, позволяющие применять к неплательщикам более жесткие меры, вплоть до отключения. Широко будут использоваться счетчики предоплаты.</w:t>
      </w:r>
    </w:p>
    <w:p>
      <w:pPr>
        <w:spacing w:after="120"/>
        <w:jc w:val="both"/>
      </w:pPr>
      <w:r>
        <w:rPr>
          <w:rFonts w:ascii="Arial" w:cs="Arial" w:eastAsia="Arial" w:hAnsi="Arial"/>
          <w:sz w:val="24"/>
          <w:szCs w:val="24"/>
        </w:rPr>
        <w:t xml:space="preserve">109. Важным компонентом повышения устойчивости работы предприятий энергосектора станет формирование среднесрочной тарифной политики в отношении электрической и тепловой энергии. Тарифы в перспективе будут сбалансированы с учетом всех аспектов социального развития, включая доступность к этим услугам бедного населения, целей обеспечения финансовой устойчивости предприятий энергосектора, целей стимулирования роста реального сектора экономики и целей политики энергосбережения. Тарифы на топливно-энергетические ресурсы (электрическая энергия, газ, уголь) будут больше ориентированы на оптимизацию структуры потребления.</w:t>
      </w:r>
    </w:p>
    <w:p>
      <w:pPr>
        <w:spacing w:after="120"/>
        <w:jc w:val="both"/>
      </w:pPr>
      <w:r>
        <w:rPr>
          <w:rFonts w:ascii="Arial" w:cs="Arial" w:eastAsia="Arial" w:hAnsi="Arial"/>
          <w:sz w:val="24"/>
          <w:szCs w:val="24"/>
        </w:rPr>
        <w:t xml:space="preserve">110. Реформы в тарифной политике станут возможны только после упорядочения схем социальной защиты для внутренних потребителей. Для этого будет разработана адресная программа социальной защиты, которая будет опираться на требования действующего законодательства, в части монетизации льгот по энергоснабжению. Одновременно, в республиканском бюджете будет предусмотрено финансирование затрат на социальную поддержку по энергоснабжению в полном объеме.</w:t>
      </w:r>
    </w:p>
    <w:p>
      <w:pPr>
        <w:spacing w:after="120"/>
        <w:jc w:val="both"/>
      </w:pPr>
      <w:r>
        <w:rPr>
          <w:rFonts w:ascii="Arial" w:cs="Arial" w:eastAsia="Arial" w:hAnsi="Arial"/>
          <w:sz w:val="24"/>
          <w:szCs w:val="24"/>
        </w:rPr>
        <w:t xml:space="preserve">111. Развитие политики энергосбережения остается приоритетом. Меры будут направлены на создание и совершенствование нормативов и обязательных требований по энергосбережению для различных секторов экономики и непроизводственной сферы. Также будут развиваться программы материального стимулирования экономии электроэнергии. Большое значение будет уделено проведению разъяснительной работы среди населения и предпринимателей о политике энергосбережения.</w:t>
      </w:r>
    </w:p>
    <w:p>
      <w:pPr>
        <w:spacing w:after="120"/>
        <w:jc w:val="both"/>
      </w:pPr>
      <w:r>
        <w:rPr>
          <w:rFonts w:ascii="Arial" w:cs="Arial" w:eastAsia="Arial" w:hAnsi="Arial"/>
          <w:sz w:val="24"/>
          <w:szCs w:val="24"/>
        </w:rPr>
        <w:t xml:space="preserve">112. Будет продолжена работа по расширению сотрудничества в водохозяйственном, топливном и энергетическом секторах в Центрально-Азиатском регионе. Для этого будут продолжены усилия по сохранению и обеспечению устойчивости работы Объединенной энергосистемы Центральной Азии (далее - ОЭС ЦА). Разработан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 Кыргызская Республика продолжит играть активную роль в создании Центрально-южно-азиатского регионального рынка электроэнергии (CASAREM) через подготовку и реализацию проекта "CASA-1000".</w:t>
      </w:r>
    </w:p>
    <w:p>
      <w:pPr>
        <w:spacing w:after="120"/>
        <w:jc w:val="both"/>
      </w:pPr>
      <w:r>
        <w:rPr>
          <w:rFonts w:ascii="Arial" w:cs="Arial" w:eastAsia="Arial" w:hAnsi="Arial"/>
          <w:sz w:val="24"/>
          <w:szCs w:val="24"/>
        </w:rPr>
        <w:t xml:space="preserve">113. Развитие малой и средней энергетики будет поощряться путем принятия законодательных мер, направленных на увеличение экономической привлекательности развития малой гидроэнергетики, и использования нетрадиционных возобновляемых источников энергии, а также развития угольной промышленности. Одним из инструментов станет механизм компенсации тарифов при производстве электроэнергии на мини-ГЭС, с использованием возобновляемых источников энергии (далее - ВИЭ). Будет разработана программа использования ВИЭ, реализован пилотный проект по получению энергии из альтернативных источников, в частности, производство топливного этанола, биогаза. Диверсификацию производства электроэнергии и повышение устойчивости электроснабжения севера Кыргызстана обеспечит строительство Кара-Кечинской тепловой электростанции.</w:t>
      </w:r>
    </w:p>
    <w:p>
      <w:pPr>
        <w:spacing w:after="120"/>
        <w:jc w:val="both"/>
      </w:pPr>
      <w:r>
        <w:rPr>
          <w:rFonts w:ascii="Arial" w:cs="Arial" w:eastAsia="Arial" w:hAnsi="Arial"/>
          <w:sz w:val="24"/>
          <w:szCs w:val="24"/>
        </w:rPr>
        <w:t xml:space="preserve">114. Для улучшения менеджмента на энергетических предприятиях, повышения прозрачности их деятельности будут предприняты меры, которые получат нормативно-правовое и процедурное закрепление.</w:t>
      </w:r>
    </w:p>
    <w:p>
      <w:pPr>
        <w:spacing w:after="120"/>
        <w:jc w:val="both"/>
      </w:pPr>
      <w:r>
        <w:rPr>
          <w:rFonts w:ascii="Arial" w:cs="Arial" w:eastAsia="Arial" w:hAnsi="Arial"/>
          <w:sz w:val="24"/>
          <w:szCs w:val="24"/>
        </w:rPr>
        <w:t xml:space="preserve">115. Для привлечения к руководству компаниями высокопрофессиональных и ответственных менеджеров будет усовершенствована система отбора и формирования комплекса мотиваций. Назначение на высшие руководящие должности в энергокомпаниях (места в советах директоров и Исполнительного директора) будет осуществляться посредством проведения максимально прозрачных процедур открытого конкурсного отбора. Требования по улучшению качества персонала энергетических предприятий будут включены в соглашения о деятельности.</w:t>
      </w:r>
    </w:p>
    <w:p>
      <w:pPr>
        <w:spacing w:after="120"/>
        <w:jc w:val="both"/>
      </w:pPr>
      <w:r>
        <w:rPr>
          <w:rFonts w:ascii="Arial" w:cs="Arial" w:eastAsia="Arial" w:hAnsi="Arial"/>
          <w:sz w:val="24"/>
          <w:szCs w:val="24"/>
        </w:rPr>
        <w:t xml:space="preserve">116. Будет внедрено в практику заключение управленческих контрактов между советами директоров и Исполнительным директором, с одной стороны, и Правительством Кыргызской Республики, с другой стороны, предусматривающих возможности поощрения в зависимости от результатов работы.</w:t>
      </w:r>
    </w:p>
    <w:p>
      <w:pPr>
        <w:spacing w:after="120"/>
        <w:jc w:val="both"/>
      </w:pPr>
      <w:r>
        <w:rPr>
          <w:rFonts w:ascii="Arial" w:cs="Arial" w:eastAsia="Arial" w:hAnsi="Arial"/>
          <w:sz w:val="24"/>
          <w:szCs w:val="24"/>
        </w:rPr>
        <w:t xml:space="preserve">117. Задача повышения прозрачности и подотчетности энергокомпаний будет решаться путем проведения ежегодной проверки деятельности энергетических компаний независимыми аудиторами по международным стандартам, опубликования аудиторских отчетов и рекомендаций, регулярного информирования.</w:t>
      </w:r>
    </w:p>
    <w:p>
      <w:pPr>
        <w:spacing w:after="120"/>
        <w:jc w:val="both"/>
      </w:pPr>
      <w:r>
        <w:rPr>
          <w:rFonts w:ascii="Arial" w:cs="Arial" w:eastAsia="Arial" w:hAnsi="Arial"/>
          <w:sz w:val="24"/>
          <w:szCs w:val="24"/>
        </w:rPr>
        <w:t xml:space="preserve">118. Существенным фактором прозрачности станет создание государственной интерактивной интернет-страницы, регулятора и компаний, с включением информации об основных решениях госорганов по топливно-энергетическому комплексу и основных результатах хозяйственной и управленческой деятельности энергетических предприятий (стратегии развития, бухгалтерские балансы, закупочные планы, тендеры и их результаты, ключевые решения органов управления, ключевые кадровые решения и т.д.).</w:t>
      </w:r>
    </w:p>
    <w:p>
      <w:pPr>
        <w:spacing w:after="120"/>
        <w:jc w:val="both"/>
      </w:pPr>
      <w:r>
        <w:rPr>
          <w:rFonts w:ascii="Arial" w:cs="Arial" w:eastAsia="Arial" w:hAnsi="Arial"/>
          <w:sz w:val="24"/>
          <w:szCs w:val="24"/>
        </w:rPr>
        <w:t xml:space="preserve">119. Кроме того, будет обеспечена максимальная прозрачность работы энергетической отрасли на экспорт, включая физическое и финансовое разделение учета электроэнергии, производимой энергетическими компаниями для внутреннего рынка и на экспорт. В рамках деятельности Общественного наблюдательного совета Инициативы прозрачности топливно-энергетического комплекса Кыргызской Республики (ИПТЭК) будет улучшена процедура взаимодействия энергетических предприятий с гражданским обществом, с потребителями.</w:t>
      </w:r>
    </w:p>
    <w:p>
      <w:pPr>
        <w:spacing w:after="120"/>
        <w:jc w:val="both"/>
      </w:pPr>
      <w:r>
        <w:rPr>
          <w:rFonts w:ascii="Arial" w:cs="Arial" w:eastAsia="Arial" w:hAnsi="Arial"/>
          <w:sz w:val="24"/>
          <w:szCs w:val="24"/>
        </w:rPr>
        <w:t xml:space="preserve">120. Повышению достоверности учета объемов произведенной и распределенной энергии будет способствовать техническая поддержка в разработке и внедрении первой очереди автоматизированной информационно-измерительной системы коммерческого учета электрической энергии (АИИСКУЭ).</w:t>
      </w:r>
    </w:p>
    <w:p>
      <w:pPr>
        <w:spacing w:after="120"/>
        <w:jc w:val="both"/>
      </w:pPr>
      <w:r>
        <w:rPr>
          <w:rFonts w:ascii="Arial" w:cs="Arial" w:eastAsia="Arial" w:hAnsi="Arial"/>
          <w:sz w:val="24"/>
          <w:szCs w:val="24"/>
        </w:rPr>
        <w:t xml:space="preserve">121. Рост объемов производства и экспорта электроэнергии, повышение устойчивости энергоснабжения, эффективное выполнение текущих проектов и программ будет достигаться через разработку и реализацию крупных национальных проектов, запланированных на среднесрочную и долгосрочную перспективу: (i) ввод в эксплуатацию второго пускового комплекса Камбаратинской ГЭС-2; (ii) завершение разработки ТЭО строительства Камбаратинской ГЭС-1; (iii) строительство Верхне-Нарынского каскада ГЭС (4 ГЭС); (iv) реализация проекта строительства подстанции 500 киловольт "Датка" и ЛЭП 220 и 110 киловольт на юге; (v) начало строительства ЛЭП 500 киловольт "Датка-Кемин" подстанции 500 кВ "Кемин"; (vi) строительство ВЛ 500 кВ "Кемин-Алматы"; (vii) продолжение работ по проекту ВЛ 500 кВ "Датка-Худжент" (Проект "CASA-1000"); (viii) поиск инвестиций для строительства тепловой электростанции мощностью 600 (1200) МВт на угольном месторождении Кара-Кече; (ix) реконструкция Бишкекской ТЭЦ-1, с увеличением ее мощности до 400 МВт; (х) реконструкция магистральных тепловых сетей в городах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последние годы были предприняты определенные меры для улучшения ситуации в горнодобывающей сфере. Кыргызстан присоединился к инициативе прозрачности в добывающих отраслях (ИПДО). Для заинтересованности местного населения и местных органов управления в разработке месторождений был разработан законопроект, предусматривающий отчисления в местные бюджеты для развития и содержания инфраструктуры местного значения в размере 2% от выручки, без учета косвенных налогов, полученной от реализации полезных ископаемых.</w:t>
      </w:r>
    </w:p>
    <w:p>
      <w:pPr>
        <w:spacing w:after="120"/>
        <w:jc w:val="both"/>
      </w:pPr>
      <w:r>
        <w:rPr>
          <w:rFonts w:ascii="Arial" w:cs="Arial" w:eastAsia="Arial" w:hAnsi="Arial"/>
          <w:sz w:val="24"/>
          <w:szCs w:val="24"/>
        </w:rPr>
        <w:t xml:space="preserve">123. Вместе с тем, остаются нерешенными проблемы, связанные с несовершенством законодательства, неурегулированностью отношений собственности на имущество и землепользование, сложностью и непрозрачностью процедур проведения тендеров, недостаточно активным внедрением ИПДО.</w:t>
      </w:r>
    </w:p>
    <w:p>
      <w:pPr>
        <w:spacing w:after="120"/>
        <w:jc w:val="both"/>
      </w:pPr>
      <w:r>
        <w:rPr>
          <w:rFonts w:ascii="Arial" w:cs="Arial" w:eastAsia="Arial" w:hAnsi="Arial"/>
          <w:sz w:val="24"/>
          <w:szCs w:val="24"/>
        </w:rPr>
        <w:t xml:space="preserve">124. Это создает условия для реализации различных коррупционных схем принятия решений, что приводит в дальнейшем к затяжным судебным разбирательствам, недовольству местного населения. Существующие проблемы препятствуют притоку инвестиций, как для промышленной эксплуатации разведанных месторождений, так и в освоение новых.</w:t>
      </w:r>
    </w:p>
    <w:p>
      <w:pPr>
        <w:spacing w:after="120"/>
        <w:jc w:val="both"/>
      </w:pPr>
      <w:r>
        <w:rPr>
          <w:rFonts w:ascii="Arial" w:cs="Arial" w:eastAsia="Arial" w:hAnsi="Arial"/>
          <w:sz w:val="24"/>
          <w:szCs w:val="24"/>
        </w:rPr>
        <w:t xml:space="preserve">125. Правительство осознает необходимость проведения кардинальной реформы системы государственного управления в сфере недропользования.</w:t>
      </w:r>
    </w:p>
    <w:p>
      <w:pPr>
        <w:spacing w:after="120"/>
        <w:jc w:val="both"/>
      </w:pPr>
      <w:r>
        <w:rPr>
          <w:rFonts w:ascii="Arial" w:cs="Arial" w:eastAsia="Arial" w:hAnsi="Arial"/>
          <w:sz w:val="24"/>
          <w:szCs w:val="24"/>
        </w:rPr>
        <w:t xml:space="preserve">Создана рабочая группа по реформированию сферы недропользования, которой разработаны законопроекты, предусматривающие переход на экономические методы регулирования, создание благоприятной атмосферы для введения бизнеса и обеспечения прозрачности процедур проведения тендеров и принятия решений. Данные законопроекты будут вынесены на общественные слушания. На первом этапе будут рассмотрены следующие законопроекты: (i) "О недрах"; (ii) "О внесении изменений и дополнений в Налоговый кодекс Кыргызской Республики"; (iii) "О внесении изменений и дополнений в Земельный кодекс Кыргызской Республики"; (iv) "О внесении изменений и дополнений в Закон Кыргызской Республики "О неналоговых платежах".</w:t>
      </w:r>
    </w:p>
    <w:p>
      <w:pPr>
        <w:spacing w:after="120"/>
        <w:jc w:val="both"/>
      </w:pPr>
      <w:r>
        <w:rPr>
          <w:rFonts w:ascii="Arial" w:cs="Arial" w:eastAsia="Arial" w:hAnsi="Arial"/>
          <w:sz w:val="24"/>
          <w:szCs w:val="24"/>
        </w:rPr>
        <w:t xml:space="preserve">На втором этапе предполагается рассмотреть законопроекты: (i) "О концессиях и концессионных предприятиях в Республике Кыргызстан"; (ii) "О горной концессии"; (iii) "О соглашениях о разделе продукции при недропользовании".</w:t>
      </w:r>
    </w:p>
    <w:p>
      <w:pPr>
        <w:spacing w:after="120"/>
        <w:jc w:val="both"/>
      </w:pPr>
      <w:r>
        <w:rPr>
          <w:rFonts w:ascii="Arial" w:cs="Arial" w:eastAsia="Arial" w:hAnsi="Arial"/>
          <w:sz w:val="24"/>
          <w:szCs w:val="24"/>
        </w:rPr>
        <w:t xml:space="preserve">126. Принятие данных законопроектов позволит создать стабильные и прозрачные условия ведения бизнеса, внедрить конкурсно-аукционный способ выдачи лицензий, переход на принципы "единого окна".</w:t>
      </w:r>
    </w:p>
    <w:p>
      <w:pPr>
        <w:spacing w:after="120"/>
        <w:jc w:val="both"/>
      </w:pPr>
      <w:r>
        <w:rPr>
          <w:rFonts w:ascii="Arial" w:cs="Arial" w:eastAsia="Arial" w:hAnsi="Arial"/>
          <w:sz w:val="24"/>
          <w:szCs w:val="24"/>
        </w:rPr>
        <w:t xml:space="preserve">127. Предполагается создать стимулы для заинтересованности местного населения в освоении месторождений за счет развития инфраструктуры, создания рабочих мест, обучения молодежи и поддержки социальных инициатив.</w:t>
      </w:r>
    </w:p>
    <w:p>
      <w:pPr>
        <w:spacing w:after="120"/>
        <w:jc w:val="both"/>
      </w:pPr>
      <w:r>
        <w:rPr>
          <w:rFonts w:ascii="Arial" w:cs="Arial" w:eastAsia="Arial" w:hAnsi="Arial"/>
          <w:sz w:val="24"/>
          <w:szCs w:val="24"/>
        </w:rPr>
        <w:t xml:space="preserve">128. Для урегулирования отношений с местным населением, учета интересов всех заинтересованных сторон и внедрения механизмов достижения компромисса будет разработана программа трехстороннего взаимодействия государства с недропользователем и местным сообществом.</w:t>
      </w:r>
    </w:p>
    <w:p>
      <w:pPr>
        <w:spacing w:after="120"/>
        <w:jc w:val="both"/>
      </w:pPr>
      <w:r>
        <w:rPr>
          <w:rFonts w:ascii="Arial" w:cs="Arial" w:eastAsia="Arial" w:hAnsi="Arial"/>
          <w:sz w:val="24"/>
          <w:szCs w:val="24"/>
        </w:rPr>
        <w:t xml:space="preserve">129. Будет продолжена работа по дальнейшему развитию и внедрению инициативы прозрачности в добывающих отраслях (ИПДО). Крупнейшие добывающие компании приведут свою финансовую отчетность в соответствие с требованиями ИПДО.</w:t>
      </w:r>
    </w:p>
    <w:p>
      <w:pPr>
        <w:spacing w:after="120"/>
        <w:jc w:val="both"/>
      </w:pPr>
      <w:r>
        <w:rPr>
          <w:rFonts w:ascii="Arial" w:cs="Arial" w:eastAsia="Arial" w:hAnsi="Arial"/>
          <w:sz w:val="24"/>
          <w:szCs w:val="24"/>
        </w:rPr>
        <w:t xml:space="preserve">130. Планируется привлечение частных инвестиций для запуска 4-х национальных проектов по введению в эксплуатацию золотодобывающих месторождений: Иштамберды, Бозымчак, Джеруй, Талдыбулак Левобережный, которые обеспечат около 5 млрд. сомов налоговых поступлений, создадут 3100 рабочих мест в предстоящие три года.</w:t>
      </w:r>
    </w:p>
    <w:p>
      <w:pPr>
        <w:spacing w:after="120"/>
        <w:jc w:val="both"/>
      </w:pPr>
      <w:r>
        <w:rPr>
          <w:rFonts w:ascii="Arial" w:cs="Arial" w:eastAsia="Arial" w:hAnsi="Arial"/>
          <w:sz w:val="24"/>
          <w:szCs w:val="24"/>
        </w:rPr>
        <w:t xml:space="preserve">131. Для разведки и освоения новых газовых и нефтяных месторождений будут продолжены переговоры с потенциальными инвесторами.</w:t>
      </w:r>
    </w:p>
    <w:p>
      <w:pPr>
        <w:spacing w:after="120"/>
        <w:jc w:val="both"/>
      </w:pPr>
      <w:r>
        <w:rPr>
          <w:rFonts w:ascii="Arial" w:cs="Arial" w:eastAsia="Arial" w:hAnsi="Arial"/>
          <w:sz w:val="24"/>
          <w:szCs w:val="24"/>
        </w:rPr>
        <w:t xml:space="preserve">132. Широкому доступу к геологической информации будет способствовать создание базы данных на основе оцифрованных архивных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Аграрный сектор и переработка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Степень бедности в сельских районах особенно высока и Правительство предполагает, что создание условий для быстрого роста производства в сельскохозяйственном секторе может дать очень хорошие результаты с точки зрения роста занятости и снижения бедности в сельских районах.</w:t>
      </w:r>
    </w:p>
    <w:p>
      <w:pPr>
        <w:spacing w:after="120"/>
        <w:jc w:val="both"/>
      </w:pPr>
      <w:r>
        <w:rPr>
          <w:rFonts w:ascii="Arial" w:cs="Arial" w:eastAsia="Arial" w:hAnsi="Arial"/>
          <w:sz w:val="24"/>
          <w:szCs w:val="24"/>
        </w:rPr>
        <w:t xml:space="preserve">134. Однако, в сельском хозяйстве к настоящему времени накопились проблемы, которые препятствуют его развитию. Кыргызстан не имеет достаточного уровня самообеспеченности основными видами продовольствия. Растет площадь деградированных сельскохозяйственных земель, в том числе пашни и пастбищ. Водные ресурсы используются неэффективно, потери воды являются чрезмерными.</w:t>
      </w:r>
    </w:p>
    <w:p>
      <w:pPr>
        <w:spacing w:after="120"/>
        <w:jc w:val="both"/>
      </w:pPr>
      <w:r>
        <w:rPr>
          <w:rFonts w:ascii="Arial" w:cs="Arial" w:eastAsia="Arial" w:hAnsi="Arial"/>
          <w:sz w:val="24"/>
          <w:szCs w:val="24"/>
        </w:rPr>
        <w:t xml:space="preserve">135. Поддержка государством семеноводства и племенной работы, фитосанитарии и ветеринарии, мелиорации, других необходимых для сельскохозяйственного производства услуг имеет ограниченный характер. Нарушаются сево- и культурообороты, структура посевов, уровень агрокультуры нуждается в улучшении. Все это препятствует росту продуктивности растениеводства и животноводства.</w:t>
      </w:r>
    </w:p>
    <w:p>
      <w:pPr>
        <w:spacing w:after="120"/>
        <w:jc w:val="both"/>
      </w:pPr>
      <w:r>
        <w:rPr>
          <w:rFonts w:ascii="Arial" w:cs="Arial" w:eastAsia="Arial" w:hAnsi="Arial"/>
          <w:sz w:val="24"/>
          <w:szCs w:val="24"/>
        </w:rPr>
        <w:t xml:space="preserve">136. Доступ сельских товаропроизводителей к финансовым ресурсам остается значительной проблемой, несмотря на поддержку со стороны государства. Проблема залогового обеспечения получаемых кредитов ограничивает доступ к банковскому кредитованию. Земельные наделы пока не могут выступать в качестве залога, поскольку рынок земли в Кыргызстане еще не сформирован.</w:t>
      </w:r>
    </w:p>
    <w:p>
      <w:pPr>
        <w:spacing w:after="120"/>
        <w:jc w:val="both"/>
      </w:pPr>
      <w:r>
        <w:rPr>
          <w:rFonts w:ascii="Arial" w:cs="Arial" w:eastAsia="Arial" w:hAnsi="Arial"/>
          <w:sz w:val="24"/>
          <w:szCs w:val="24"/>
        </w:rPr>
        <w:t xml:space="preserve">137. В сельском хозяйстве велика доля мелкотоварного производства. Малый размер земельных наделов фермеров является существенным ограничением для широкого применения сельскохозяйственной техники.</w:t>
      </w:r>
    </w:p>
    <w:p>
      <w:pPr>
        <w:spacing w:after="120"/>
        <w:jc w:val="both"/>
      </w:pPr>
      <w:r>
        <w:rPr>
          <w:rFonts w:ascii="Arial" w:cs="Arial" w:eastAsia="Arial" w:hAnsi="Arial"/>
          <w:sz w:val="24"/>
          <w:szCs w:val="24"/>
        </w:rPr>
        <w:t xml:space="preserve">138. Фермеры испытывают большие проблемы при сбыте продукции. Одной из причин является недостаток прогнозной информации о рынке сельхозпродукции для определения структуры посевов.</w:t>
      </w:r>
    </w:p>
    <w:p>
      <w:pPr>
        <w:spacing w:after="120"/>
        <w:jc w:val="both"/>
      </w:pPr>
      <w:r>
        <w:rPr>
          <w:rFonts w:ascii="Arial" w:cs="Arial" w:eastAsia="Arial" w:hAnsi="Arial"/>
          <w:sz w:val="24"/>
          <w:szCs w:val="24"/>
        </w:rPr>
        <w:t xml:space="preserve">139. Объемы переработки сельскохозяйственной продукции растут очень медленно. На экспорт продовольствия негативное влияние оказывает несоответствие уровня сертификации отечественной сельхозпродукции и переработки потребностям отрасли.</w:t>
      </w:r>
    </w:p>
    <w:p>
      <w:pPr>
        <w:spacing w:after="120"/>
        <w:jc w:val="both"/>
      </w:pPr>
      <w:r>
        <w:rPr>
          <w:rFonts w:ascii="Arial" w:cs="Arial" w:eastAsia="Arial" w:hAnsi="Arial"/>
          <w:sz w:val="24"/>
          <w:szCs w:val="24"/>
        </w:rPr>
        <w:t xml:space="preserve">140. Кооперация среди фермеров, развитие агропромышленных кластеров, взаимодействие сельского хозяйства с перерабатывающей промышленностью нуждаются в поддержке. Потенциальные участники кооперативных отношений не удовлетворены правовыми и экономическими условиями кооперации.</w:t>
      </w:r>
    </w:p>
    <w:p>
      <w:pPr>
        <w:spacing w:after="120"/>
        <w:jc w:val="both"/>
      </w:pPr>
      <w:r>
        <w:rPr>
          <w:rFonts w:ascii="Arial" w:cs="Arial" w:eastAsia="Arial" w:hAnsi="Arial"/>
          <w:sz w:val="24"/>
          <w:szCs w:val="24"/>
        </w:rPr>
        <w:t xml:space="preserve">141. Политика развития сельского хозяйства будет направлена на решение следующих основных задач: (i) рост объемов производства и качества продукции сельского хозяйства; (ii) увеличение продуктивности растениеводства и животноводства; (iii) расширение ирригационных систем, оптимизация водопользования; (iv) создание и развитие рынка земли; (v) развитие кооперативов; (vi) повышение доступа сельских товаропроизводителей к финансовым ресурсам, развитие кредитования и лизинга.</w:t>
      </w:r>
    </w:p>
    <w:p>
      <w:pPr>
        <w:spacing w:after="120"/>
        <w:jc w:val="both"/>
      </w:pPr>
      <w:r>
        <w:rPr>
          <w:rFonts w:ascii="Arial" w:cs="Arial" w:eastAsia="Arial" w:hAnsi="Arial"/>
          <w:sz w:val="24"/>
          <w:szCs w:val="24"/>
        </w:rPr>
        <w:t xml:space="preserve">142. Для роста объемов производства Правительство будет оказывать содействие в увеличении доступности финансовых, материально-технических ресурсов, расширении рынков сбыта продукции. Для этого со стороны государства будет продолжено предоставление льгот при доступе к финансовым ресурсам и горюче-смазочным материалам. Правительство создаст механизм использования госзаказа на переработанную продукцию и будет содействовать развитию перерабатывающих предприятий на принципах государственно-частного партнерства, с последующей передачей доли государства частному сектору. Правительством будет оказываться маркетинговая помощь в продвижении продукции сельского хозяйства и перерабатывающей промышленности на внешних рынках. Будет развиваться современная система сертификации продукции. 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w:t>
      </w:r>
    </w:p>
    <w:p>
      <w:pPr>
        <w:spacing w:after="120"/>
        <w:jc w:val="both"/>
      </w:pPr>
      <w:r>
        <w:rPr>
          <w:rFonts w:ascii="Arial" w:cs="Arial" w:eastAsia="Arial" w:hAnsi="Arial"/>
          <w:sz w:val="24"/>
          <w:szCs w:val="24"/>
        </w:rPr>
        <w:t xml:space="preserve">143.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 Правительство будет готовить ежегодный прогноз спроса и предложения на сельскохозяйственную продукцию, окажет поддержку функционированию информационного ресурса для агропромышленного комплекса.</w:t>
      </w:r>
    </w:p>
    <w:p>
      <w:pPr>
        <w:spacing w:after="120"/>
        <w:jc w:val="both"/>
      </w:pPr>
      <w:r>
        <w:rPr>
          <w:rFonts w:ascii="Arial" w:cs="Arial" w:eastAsia="Arial" w:hAnsi="Arial"/>
          <w:sz w:val="24"/>
          <w:szCs w:val="24"/>
        </w:rPr>
        <w:t xml:space="preserve">144. 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улучшение учета племенных животных, поддержка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материала.</w:t>
      </w:r>
    </w:p>
    <w:p>
      <w:pPr>
        <w:spacing w:after="120"/>
        <w:jc w:val="both"/>
      </w:pPr>
      <w:r>
        <w:rPr>
          <w:rFonts w:ascii="Arial" w:cs="Arial" w:eastAsia="Arial" w:hAnsi="Arial"/>
          <w:sz w:val="24"/>
          <w:szCs w:val="24"/>
        </w:rPr>
        <w:t xml:space="preserve">145. Развитие ирригационных систем, оптимизации водопользования будет осуществляться в двух направлениях: (i) повышение эффективности водораспределения между различными уровнями управления водными ресурсами и между водопользователями; (ii) увеличение пропускной способности ирригационной системы, снижение потерь воды, повышение потенциала водохозяйственных предприятий и ассоциаций водопользователей. Также будут приняты меры по улучшению плодородия почв и разработаны требования по снижению деградации земель, сохранению их плодородия. Будут разработаны стимулы по рациональному использованию водных и земельных ресурсов.</w:t>
      </w:r>
    </w:p>
    <w:p>
      <w:pPr>
        <w:spacing w:after="120"/>
        <w:jc w:val="both"/>
      </w:pPr>
      <w:r>
        <w:rPr>
          <w:rFonts w:ascii="Arial" w:cs="Arial" w:eastAsia="Arial" w:hAnsi="Arial"/>
          <w:sz w:val="24"/>
          <w:szCs w:val="24"/>
        </w:rPr>
        <w:t xml:space="preserve">146. Меры по развитию рынка земли будут направлены на совершенствование правовых основ для функционирования рынка земли и создание необходимой инфраструктуры рынка. Сделки с землей можно будет осуществлять только через конкурентные торги под государственным и общественным контролем.</w:t>
      </w:r>
    </w:p>
    <w:p>
      <w:pPr>
        <w:spacing w:after="120"/>
        <w:jc w:val="both"/>
      </w:pPr>
      <w:r>
        <w:rPr>
          <w:rFonts w:ascii="Arial" w:cs="Arial" w:eastAsia="Arial" w:hAnsi="Arial"/>
          <w:sz w:val="24"/>
          <w:szCs w:val="24"/>
        </w:rPr>
        <w:t xml:space="preserve">147. Развитие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 Одним из инструментов станет государственный заказ.</w:t>
      </w:r>
    </w:p>
    <w:p>
      <w:pPr>
        <w:spacing w:after="120"/>
        <w:jc w:val="both"/>
      </w:pPr>
      <w:r>
        <w:rPr>
          <w:rFonts w:ascii="Arial" w:cs="Arial" w:eastAsia="Arial" w:hAnsi="Arial"/>
          <w:sz w:val="24"/>
          <w:szCs w:val="24"/>
        </w:rPr>
        <w:t xml:space="preserve">148. Для повышения доступа сельских товаропроизводителей к финансовым ресурсам, развития кредитования и лизинга Правительство будет продолжать политику расширения кредитно-финансовых учреждений, финансирующих сельское хозяйство. Доступ к кредитным средствам будет обеспечиваться как прямой финансовой поддержкой государства, так и созданием условий для снижения процентных ставок кредитных учреждений. Будет создана лизинговая компании по сельскохозяйственной технике. Правительство создаст фонд поддержки кредитования и лизинга для перерабатывающих предприятий.</w:t>
      </w:r>
    </w:p>
    <w:p>
      <w:pPr>
        <w:spacing w:after="120"/>
        <w:jc w:val="both"/>
      </w:pPr>
      <w:r>
        <w:rPr>
          <w:rFonts w:ascii="Arial" w:cs="Arial" w:eastAsia="Arial" w:hAnsi="Arial"/>
          <w:sz w:val="24"/>
          <w:szCs w:val="24"/>
        </w:rPr>
        <w:t xml:space="preserve">149. Правительство продолжит сотрудничество со Всемирным Банком (ВБ), Азиатским Банком Развития (АБР), Исламским Банком Развития (ИБР), Международной Финансовой Корпорацией (МФК), Европейским Банком Реконструкции и Развития (ЕБРР), Представительством Европейского Союза в Кыргызской Республике, Швейцарским Бюро по сотрудничеству (SECO), Агентством США по Международному развитию (USAID), Программой Развития ООН (ПРООН) и другими. Стимулирование процесса интеграции и установления прямых контактов между хозяйствующими субъектами сельского хозяйства в рамках СНГ, ЕврАзЭС, ШОС будет произведено через гармонизацию нормативных правовых актов и соглашений, подписываемых в рамках этих сообществ.</w:t>
      </w:r>
    </w:p>
    <w:p>
      <w:pPr>
        <w:spacing w:after="120"/>
        <w:jc w:val="both"/>
      </w:pPr>
      <w:r>
        <w:rPr>
          <w:rFonts w:ascii="Arial" w:cs="Arial" w:eastAsia="Arial" w:hAnsi="Arial"/>
          <w:sz w:val="24"/>
          <w:szCs w:val="24"/>
        </w:rPr>
        <w:t xml:space="preserve">150. Среднесрочная и долгосрочная инвестиционная составляющая включает: (i) создание сети сельскохозяйственных кооперативов; (ii) создание семи-девяти семеноводческих хозяйств; (iii) создание семи-девяти племенных хозяйств; (iv) развитие системы кредитования в сфере АПК; (v) обеспечение доступной сельскохозяйственной техникой (создание лизинговой компании по сельскохозяйственной технике); (vi) освоение новых орошаемых земель в Сузакском районе Джалал-Абадской области и Узгенском районе Ошской области из системы реки Яссы; (vii) освоение новых орошаемых земель в Кара-Суйском районе Ошской области из системы реки Куршаб; (viii) строительство дюкера в пос. Максат Лейлекского района Баткенской области, с подачей воды на Аркинский массив; (ix) освоение земель Бургандинского массива Кадамджайского района Баткенской области; (х) строительство канала Ак-Терек в Аксыйском районе Джалал-Абадской области; (xi) строительство канала Каримберди в сельской управе "Ынтымак" Ноокатского района Ошской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 Обрабатывающая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 развитие обрабатывающей промышленности существенное влияние оказывают меры государственного регулирования по созданию благоприятных условий для бизнеса и привлечения инвестиций. К таким мерам, в частности, относятся отмена налога за пользование автомобильными дорогами и отчислений в фонд чрезвычайных ситуаций, снижение НДС с 20% до 12%. Для стимулирования обновления основных фондов предприятия освобождены от уплаты НДС на импортируемое технологическое оборудование, включаемое в их уставный капитал. Внедрены механизмы ускоренной амортизации. Переработчики сельскохозяйственной продукции освобождены от уплаты НДС и налога на прибыль сроком на 3 года.</w:t>
      </w:r>
    </w:p>
    <w:p>
      <w:pPr>
        <w:spacing w:after="120"/>
        <w:jc w:val="both"/>
      </w:pPr>
      <w:r>
        <w:rPr>
          <w:rFonts w:ascii="Arial" w:cs="Arial" w:eastAsia="Arial" w:hAnsi="Arial"/>
          <w:sz w:val="24"/>
          <w:szCs w:val="24"/>
        </w:rPr>
        <w:t xml:space="preserve">152. Однако, отрицательное воздействие оказало введение налога с продаж в размере 2,5% для промышленных предприятий, в том числе и на экспортируемую продукцию.</w:t>
      </w:r>
    </w:p>
    <w:p>
      <w:pPr>
        <w:spacing w:after="120"/>
        <w:jc w:val="both"/>
      </w:pPr>
      <w:r>
        <w:rPr>
          <w:rFonts w:ascii="Arial" w:cs="Arial" w:eastAsia="Arial" w:hAnsi="Arial"/>
          <w:sz w:val="24"/>
          <w:szCs w:val="24"/>
        </w:rPr>
        <w:t xml:space="preserve">153. Вместе с тем, в обрабатывающей промышленности сохраняются проблемы, для решения которых требуется принятие специальных мер. Имеется сильная зависимость от импорта сырьевых и материальных ресурсов. Отмечается дефицит квалифицированных специалистов. Недостаток собственных оборотных средств, ограниченность доступа к коммерческим кредитам вследствие высоких процентных ставок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120"/>
        <w:jc w:val="both"/>
      </w:pPr>
      <w:r>
        <w:rPr>
          <w:rFonts w:ascii="Arial" w:cs="Arial" w:eastAsia="Arial" w:hAnsi="Arial"/>
          <w:sz w:val="24"/>
          <w:szCs w:val="24"/>
        </w:rPr>
        <w:t xml:space="preserve">154. Для формирования комплексного подхода к решению существующих проблем разработан проект Концепции развития промышленности Кыргызской Республики на 2012-2015 годы, в которой изложены общее видение и основные направления развития промышленности в целом, представлены проблемы, характерные для большинства промышленных секторов, а также возможные пути их решения. На основе данного документа будут разработаны стратегии отдельных отраслей промышленности.</w:t>
      </w:r>
    </w:p>
    <w:p>
      <w:pPr>
        <w:spacing w:after="120"/>
        <w:jc w:val="both"/>
      </w:pPr>
      <w:r>
        <w:rPr>
          <w:rFonts w:ascii="Arial" w:cs="Arial" w:eastAsia="Arial" w:hAnsi="Arial"/>
          <w:sz w:val="24"/>
          <w:szCs w:val="24"/>
        </w:rPr>
        <w:t xml:space="preserve">155. В Концепции развития промышленности Кыргызской Республики на 2012-2015 годы определены следующие основные стратегические направления промышленной политики: (i) экспортоориентированность; (ii) импортозамещение/защита местных производителей; (iii) повышение конкурентоспособности продукции; (iv) стимулирование углубленной переработки сырьевых ресурсов для формирования высокой добавленной стоимости; (v) улучшение инвестиционного климата и привлечение инвестиций в обрабатывающий сектор промышленности; (vi) развитие инновационных технологий и научных разработок; (vii) подготовка кадров всех уровней для промышленности.</w:t>
      </w:r>
    </w:p>
    <w:p>
      <w:pPr>
        <w:spacing w:after="120"/>
        <w:jc w:val="both"/>
      </w:pPr>
      <w:r>
        <w:rPr>
          <w:rFonts w:ascii="Arial" w:cs="Arial" w:eastAsia="Arial" w:hAnsi="Arial"/>
          <w:sz w:val="24"/>
          <w:szCs w:val="24"/>
        </w:rPr>
        <w:t xml:space="preserve">156. Правительство также намерено продолжить реализацию Стратегии развития текстильной и швейной промышленности на 2011-2013 годы, включая меры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157. 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w:t>
      </w:r>
    </w:p>
    <w:p>
      <w:pPr>
        <w:spacing w:after="120"/>
        <w:jc w:val="both"/>
      </w:pPr>
      <w:r>
        <w:rPr>
          <w:rFonts w:ascii="Arial" w:cs="Arial" w:eastAsia="Arial" w:hAnsi="Arial"/>
          <w:sz w:val="24"/>
          <w:szCs w:val="24"/>
        </w:rPr>
        <w:t xml:space="preserve">158.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159. Изменения торговых условий, связанных с введением норм и требований Таможенного союза, будут учтены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Для создания благоприятных условий развития отрасли строительства были значительно упрощены разрешительные процедуры, сокращены сроки и количество требуемых документов. Вместе с тем, нынешнее состояние строительной отрасли не позволяет обеспечить в требуемом объеме жильем население страны.</w:t>
      </w:r>
    </w:p>
    <w:p>
      <w:pPr>
        <w:spacing w:after="120"/>
        <w:jc w:val="both"/>
      </w:pPr>
      <w:r>
        <w:rPr>
          <w:rFonts w:ascii="Arial" w:cs="Arial" w:eastAsia="Arial" w:hAnsi="Arial"/>
          <w:sz w:val="24"/>
          <w:szCs w:val="24"/>
        </w:rPr>
        <w:t xml:space="preserve">161. Проблемы в отрасли также связаны с недостаточной обеспеченностью градостроительной документацией для населенных пунктов (генпланы, проекты детальной планировки и т.д.), отсутствием четких процедур по предоставлению земельных участков под новое строительство и отсутствием современных требований по сейсмической безопасности к строительству зданий и сооружений.</w:t>
      </w:r>
    </w:p>
    <w:p>
      <w:pPr>
        <w:spacing w:after="120"/>
        <w:jc w:val="both"/>
      </w:pPr>
      <w:r>
        <w:rPr>
          <w:rFonts w:ascii="Arial" w:cs="Arial" w:eastAsia="Arial" w:hAnsi="Arial"/>
          <w:sz w:val="24"/>
          <w:szCs w:val="24"/>
        </w:rPr>
        <w:t xml:space="preserve">162. Правительство считает одной из своих приоритетных задач строительство доступного жилья для бюджетных работников. Будет принята программа "Доступное жилье", в которой предусмотрены: (i) запуск механизма ипотечного кредитования для населения со сроком погашения - 10-20 лет; (ii) льготное кредитование для населения на приобретение жилья; (iii) определение районов строительства по сейсмостойкости и обеспеченности коммуникациями и инженерными сетями; (iv) строительство многоэтажных домов для бюджетных работников.</w:t>
      </w:r>
    </w:p>
    <w:p>
      <w:pPr>
        <w:spacing w:after="120"/>
        <w:jc w:val="both"/>
      </w:pPr>
      <w:r>
        <w:rPr>
          <w:rFonts w:ascii="Arial" w:cs="Arial" w:eastAsia="Arial" w:hAnsi="Arial"/>
          <w:sz w:val="24"/>
          <w:szCs w:val="24"/>
        </w:rPr>
        <w:t xml:space="preserve">163. Для обеспечения градостроительной документацией и выполнения требований сейсмической безопасности будет разработан План действий по полному охвату населенных пунктов в разработке генеральных планов на 2012-2014 годы.</w:t>
      </w:r>
    </w:p>
    <w:p>
      <w:pPr>
        <w:spacing w:after="120"/>
        <w:jc w:val="both"/>
      </w:pPr>
      <w:r>
        <w:rPr>
          <w:rFonts w:ascii="Arial" w:cs="Arial" w:eastAsia="Arial" w:hAnsi="Arial"/>
          <w:sz w:val="24"/>
          <w:szCs w:val="24"/>
        </w:rPr>
        <w:t xml:space="preserve">164. Для совершенствования системы принятия решений при выделении земельных участков для строительства будут: (i) внесены поправки в нормативно-законодательные документы по вопросу выделения земельных участков, обязательного исполнения требований сейсмобезопасности (Земельный кодекс Кыргызской Республики, Закон Кыргызской Республики "О градостроительстве и архитектуре Кыргызской Республики" и другие нормативные документы); (ii) разработан информационный банк данных земельных участков под строительство в населенных пунктах Кыргызской Республики; (iii)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5.6.6.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Туризм рассматривается как один из главных экономических приоритетов страны. Однако, доля туризма в ВВП пока остается низкой. Развитие туризма сдерживается низким качеством услуг, неразвитостью инфраструктуры, сложностью процедур получения виз и недостаточной информированностью иностранных инвесторов и туристов. Актуальной является проблема обеспечения безопасности иностранных туристов.</w:t>
      </w:r>
    </w:p>
    <w:p>
      <w:pPr>
        <w:spacing w:after="120"/>
        <w:jc w:val="both"/>
      </w:pPr>
      <w:r>
        <w:rPr>
          <w:rFonts w:ascii="Arial" w:cs="Arial" w:eastAsia="Arial" w:hAnsi="Arial"/>
          <w:sz w:val="24"/>
          <w:szCs w:val="24"/>
        </w:rPr>
        <w:t xml:space="preserve">166. 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Ожидается, что такая зона станет популярным местом посещения иностранными гражданами со средним и высоким достатком. Будут разработаны и утверждены необходимые нормативные документы и начата работа по привлечению инвесторов для строительства.</w:t>
      </w:r>
    </w:p>
    <w:p>
      <w:pPr>
        <w:spacing w:after="120"/>
        <w:jc w:val="both"/>
      </w:pPr>
      <w:r>
        <w:rPr>
          <w:rFonts w:ascii="Arial" w:cs="Arial" w:eastAsia="Arial" w:hAnsi="Arial"/>
          <w:sz w:val="24"/>
          <w:szCs w:val="24"/>
        </w:rPr>
        <w:t xml:space="preserve">167. Продолжение реконструкции автомобильной дороги "Бишкек-Торугарт" позволит создать близкие к международным стандартам условия проезда на озеро Иссык-Куль.</w:t>
      </w:r>
    </w:p>
    <w:p>
      <w:pPr>
        <w:spacing w:after="120"/>
        <w:jc w:val="both"/>
      </w:pPr>
      <w:r>
        <w:rPr>
          <w:rFonts w:ascii="Arial" w:cs="Arial" w:eastAsia="Arial" w:hAnsi="Arial"/>
          <w:sz w:val="24"/>
          <w:szCs w:val="24"/>
        </w:rPr>
        <w:t xml:space="preserve">168. Правительство продолжит проводить активное и постоянное рекламирование за рубежом туристических возможностей Кыргызстана. Для этого будут задействованы посольства Кыргызской Республики в зарубежных странах, разработан и запущен сайт "Кыргызстан - страна туризма", использоваться зарубежные средства массой информации.</w:t>
      </w:r>
    </w:p>
    <w:p>
      <w:pPr>
        <w:spacing w:after="120"/>
        <w:jc w:val="both"/>
      </w:pPr>
      <w:r>
        <w:rPr>
          <w:rFonts w:ascii="Arial" w:cs="Arial" w:eastAsia="Arial" w:hAnsi="Arial"/>
          <w:sz w:val="24"/>
          <w:szCs w:val="24"/>
        </w:rPr>
        <w:t xml:space="preserve">169. Планируется отменить визы для туристов из стран с уровнем доходов на душу населения не менее 7000 долларов США.</w:t>
      </w:r>
    </w:p>
    <w:p>
      <w:pPr>
        <w:spacing w:after="120"/>
        <w:jc w:val="both"/>
      </w:pPr>
      <w:r>
        <w:rPr>
          <w:rFonts w:ascii="Arial" w:cs="Arial" w:eastAsia="Arial" w:hAnsi="Arial"/>
          <w:sz w:val="24"/>
          <w:szCs w:val="24"/>
        </w:rPr>
        <w:t xml:space="preserve">170. Для развития туризма во всех регионах предполагается создать институт "свободных туристических зон" на базе туристических кластеров. Будет разработана новая редакция Закона Кыргызской Республики "О туризме".</w:t>
      </w:r>
    </w:p>
    <w:p>
      <w:pPr>
        <w:spacing w:after="120"/>
        <w:jc w:val="both"/>
      </w:pPr>
      <w:r>
        <w:rPr>
          <w:rFonts w:ascii="Arial" w:cs="Arial" w:eastAsia="Arial" w:hAnsi="Arial"/>
          <w:sz w:val="24"/>
          <w:szCs w:val="24"/>
        </w:rPr>
        <w:t xml:space="preserve">171. Сохранение культурно-исторических объектов на Великом Шелковом пути также будет способствовать повышению привлекательности регионов Кыргызстана для туристов.</w:t>
      </w:r>
    </w:p>
    <w:p>
      <w:pPr>
        <w:spacing w:after="120"/>
        <w:jc w:val="both"/>
      </w:pPr>
      <w:r>
        <w:rPr>
          <w:rFonts w:ascii="Arial" w:cs="Arial" w:eastAsia="Arial" w:hAnsi="Arial"/>
          <w:sz w:val="24"/>
          <w:szCs w:val="24"/>
        </w:rPr>
        <w:t xml:space="preserve">172. Создание необходимой инфраструктуры связано с реализацией таких проектов как "Реабилитация системы питьевого водоснабжения гор. Каракол" (грант Правительства Швейцарии), "Устойчивое развитие Иссык-Куля" (кредиты и гранты АБР), "Улучшение водоснабжения гор. Бишкек", "Улучшение водоснабжения гор. Ош и Джалал Абад" (гранты Правительства Швейцарии, кредиты ЕБРР) и др.</w:t>
      </w:r>
    </w:p>
    <w:p>
      <w:pPr>
        <w:spacing w:after="120"/>
        <w:jc w:val="both"/>
      </w:pPr>
      <w:r>
        <w:rPr>
          <w:rFonts w:ascii="Arial" w:cs="Arial" w:eastAsia="Arial" w:hAnsi="Arial"/>
          <w:sz w:val="24"/>
          <w:szCs w:val="24"/>
        </w:rPr>
        <w:t xml:space="preserve">173. Для повышения привлекательности туристической сферы будет активно продвигаться бренд "Кыргызстан - страна небесных гор". Для обеспечения безопасности туристов будут задействованы правоохранительные органы, представители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5.6.7. Развитие внешней и внутренней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Значительное влияние на развитие внешней торговли в среднесрочной перспективе окажет присоединение Кыргызстана к Таможенному союзу (ТС).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175. Наиболее очевидным преимуществом для кыргызской экономики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более низкой стоимости рабочей силы в Кыргызстане можно ожидать увеличение притока прямых иностранных инвестиций.</w:t>
      </w:r>
    </w:p>
    <w:p>
      <w:pPr>
        <w:spacing w:after="120"/>
        <w:jc w:val="both"/>
      </w:pPr>
      <w:r>
        <w:rPr>
          <w:rFonts w:ascii="Arial" w:cs="Arial" w:eastAsia="Arial" w:hAnsi="Arial"/>
          <w:sz w:val="24"/>
          <w:szCs w:val="24"/>
        </w:rPr>
        <w:t xml:space="preserve">176. Если Кыргызстан повысит внешний тариф в соответствии с нормами ТС, то это приведет к сокращению реэкспорта (главным образом китайских товаров), а также даст повод для претензий со стороны стран-членов ВТО, чьи интересы будут ущемлены.</w:t>
      </w:r>
    </w:p>
    <w:p>
      <w:pPr>
        <w:spacing w:after="120"/>
        <w:jc w:val="both"/>
      </w:pPr>
      <w:r>
        <w:rPr>
          <w:rFonts w:ascii="Arial" w:cs="Arial" w:eastAsia="Arial" w:hAnsi="Arial"/>
          <w:sz w:val="24"/>
          <w:szCs w:val="24"/>
        </w:rPr>
        <w:t xml:space="preserve">177. Принятые соглашения и требования по техническому регулированию, санитарным, ветеринарным и фитосанитарным мерам в ТС осложнили условия доступа на рынки стран-членов ТС сельскохозяйственной продукции из Кыргызстана.</w:t>
      </w:r>
    </w:p>
    <w:p>
      <w:pPr>
        <w:spacing w:after="120"/>
        <w:jc w:val="both"/>
      </w:pPr>
      <w:r>
        <w:rPr>
          <w:rFonts w:ascii="Arial" w:cs="Arial" w:eastAsia="Arial" w:hAnsi="Arial"/>
          <w:sz w:val="24"/>
          <w:szCs w:val="24"/>
        </w:rPr>
        <w:t xml:space="preserve">178. В настоящее время в Кыргызстане отсутствует необходимая лабораторная база для получения оценки соответствия, отвечающей мировым стандартам или требованиям ТС.</w:t>
      </w:r>
    </w:p>
    <w:p>
      <w:pPr>
        <w:spacing w:after="120"/>
        <w:jc w:val="both"/>
      </w:pPr>
      <w:r>
        <w:rPr>
          <w:rFonts w:ascii="Arial" w:cs="Arial" w:eastAsia="Arial" w:hAnsi="Arial"/>
          <w:sz w:val="24"/>
          <w:szCs w:val="24"/>
        </w:rPr>
        <w:t xml:space="preserve">179. Процедуры по оформлению экспортно-импортной документации все еще остаются сложными и непрозрачными.</w:t>
      </w:r>
    </w:p>
    <w:p>
      <w:pPr>
        <w:spacing w:after="120"/>
        <w:jc w:val="both"/>
      </w:pPr>
      <w:r>
        <w:rPr>
          <w:rFonts w:ascii="Arial" w:cs="Arial" w:eastAsia="Arial" w:hAnsi="Arial"/>
          <w:sz w:val="24"/>
          <w:szCs w:val="24"/>
        </w:rPr>
        <w:t xml:space="preserve">180. 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странам-членам ВТО, для которых торговый режим станет менее благоприятным, чем статус-кво.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приведено национальное законодательство в соответствие с соглашениями Таможенного союза. Продолжится работа по исследованию последствий присоединения Кыргызстана к ТС, поскольку воздействия ТС на экономику Кыргызстана ожидаются неоднозначными в краткосрочной и среднесрочной перспективе.</w:t>
      </w:r>
    </w:p>
    <w:p>
      <w:pPr>
        <w:spacing w:after="120"/>
        <w:jc w:val="both"/>
      </w:pPr>
      <w:r>
        <w:rPr>
          <w:rFonts w:ascii="Arial" w:cs="Arial" w:eastAsia="Arial" w:hAnsi="Arial"/>
          <w:sz w:val="24"/>
          <w:szCs w:val="24"/>
        </w:rPr>
        <w:t xml:space="preserve">181. 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182. 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183. Развитие внутренней торговли. Общий объем оборота внутренней торговли в 2011 году возрос на 6,7%, против сокращения на 4,9% в 2010 году. Увеличение торговли указывает на восстановление покупательского спроса после негативных последствий международного финансового кризиса и июньских событий 2010 года.</w:t>
      </w:r>
    </w:p>
    <w:p>
      <w:pPr>
        <w:spacing w:after="120"/>
        <w:jc w:val="both"/>
      </w:pPr>
      <w:r>
        <w:rPr>
          <w:rFonts w:ascii="Arial" w:cs="Arial" w:eastAsia="Arial" w:hAnsi="Arial"/>
          <w:sz w:val="24"/>
          <w:szCs w:val="24"/>
        </w:rPr>
        <w:t xml:space="preserve">Сложившаяся в последние годы тенденция увеличения крупных сетевых предприятий торговли оказывает положительное влияние на качество предоставляемых услуг, но в то же время ведет к монополизации розничной торговли, ущемлению интересов поставщиков и сдерживанию развития производства, вымыванию малого бизнеса из сферы розничной торговли. Это противоречит политике поддержки и развития малого бизнеса, требует активного вмешательства государства в целях достижения баланса различных форм торговли. Вместе с тем, в сфере внутренней торговли пока сохраняется высоким уровень ненаблюдаемой экономики (свыше 60%). С целью формирования взвешенной государственной политики, направленной на урегулирование взаимоотношений между субъектами торговли и поставщиками, будет разработана новая редакция Закона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5.6.8. Дорожно-транспортный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Дорожная сеть обеспечивает до 95% всех внутренних пассажирских и грузовых автомобильных перевозок. Основным приоритетом в развитии дорожной сети является создание международных транспортных коридоров. Для развития транзитного потенциала осуществляется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185. Сегодня изношенность внутренней дорожной сети является серьезным барьером для развития экономики. Для сельских жителей из-за плохого состояния дорог затруднен доступ к крупным внутренним рынкам сбыта. Отсутствие кратчайших транспортных выходов на мировые рынки осложняет развитие внешнеэкономических связей, увеличивает транспортные затраты экспортеров. Кыргызская железная дорога не обеспечивает потребности внутрирегиональных связей. Требуется срочная замена аэронавигационного оборудования из-за истечения срока его службы и несоответствия современным техническим требованиям.</w:t>
      </w:r>
    </w:p>
    <w:p>
      <w:pPr>
        <w:spacing w:after="120"/>
        <w:jc w:val="both"/>
      </w:pPr>
      <w:r>
        <w:rPr>
          <w:rFonts w:ascii="Arial" w:cs="Arial" w:eastAsia="Arial" w:hAnsi="Arial"/>
          <w:sz w:val="24"/>
          <w:szCs w:val="24"/>
        </w:rPr>
        <w:t xml:space="preserve">186. Развитие дорожно-транспортного комплекса будет осуществляться по следующим стратегическим направлениям: 1) обеспечение доступа к региональным рынкам товаров и услуг и развитие транзитного потенциала; 2) обеспечение доступа к местным рынкам товаров, работ и услуг.</w:t>
      </w:r>
    </w:p>
    <w:p>
      <w:pPr>
        <w:spacing w:after="120"/>
        <w:jc w:val="both"/>
      </w:pPr>
      <w:r>
        <w:rPr>
          <w:rFonts w:ascii="Arial" w:cs="Arial" w:eastAsia="Arial" w:hAnsi="Arial"/>
          <w:sz w:val="24"/>
          <w:szCs w:val="24"/>
        </w:rPr>
        <w:t xml:space="preserve">187. Для обеспечения доступа к региональным рынкам товаров и услуг, развития транзитного потенциала и транспортной независимости предусмотрена реализация следующих проектов:</w:t>
      </w:r>
    </w:p>
    <w:p>
      <w:pPr>
        <w:spacing w:after="120"/>
        <w:jc w:val="both"/>
      </w:pPr>
      <w:r>
        <w:rPr>
          <w:rFonts w:ascii="Arial" w:cs="Arial" w:eastAsia="Arial" w:hAnsi="Arial"/>
          <w:sz w:val="24"/>
          <w:szCs w:val="24"/>
        </w:rPr>
        <w:t xml:space="preserve">(i) Реабилитация международных транспортных коридоров южного направления предполагает продолжение строительства автодороги Ош-Сарыташ-Иркештам. Дорога является продолжением автодороги Бишкек-Ош и предоставит выход к границам Китая с юга и далее в страны Юго-Восточной Азии. Данный проект реализуется при поддержке АБР, ЦБР, Китая.</w:t>
      </w:r>
    </w:p>
    <w:p>
      <w:pPr>
        <w:spacing w:after="120"/>
        <w:jc w:val="both"/>
      </w:pPr>
      <w:r>
        <w:rPr>
          <w:rFonts w:ascii="Arial" w:cs="Arial" w:eastAsia="Arial" w:hAnsi="Arial"/>
          <w:sz w:val="24"/>
          <w:szCs w:val="24"/>
        </w:rPr>
        <w:t xml:space="preserve">(ii) 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Данный проект реализуется при поддержке КНР, АБР, Арабской координационной группы.</w:t>
      </w:r>
    </w:p>
    <w:p>
      <w:pPr>
        <w:spacing w:after="120"/>
        <w:jc w:val="both"/>
      </w:pPr>
      <w:r>
        <w:rPr>
          <w:rFonts w:ascii="Arial" w:cs="Arial" w:eastAsia="Arial" w:hAnsi="Arial"/>
          <w:sz w:val="24"/>
          <w:szCs w:val="24"/>
        </w:rPr>
        <w:t xml:space="preserve">(iii) Реабилитация международных транспортных коридоров западного направления, что позволит обеспечить транспортную независимость на юге страны. Автодорога Ош-Баткен-Исфана является единственной и основной транспортной артерией, связывающей Баткенскую область с другими областями и столицей Кыргызской Республики. Данный проект реализуется при поддержке ЕС, Всемирного банка, ЕБРР.</w:t>
      </w:r>
    </w:p>
    <w:p>
      <w:pPr>
        <w:spacing w:after="120"/>
        <w:jc w:val="both"/>
      </w:pPr>
      <w:r>
        <w:rPr>
          <w:rFonts w:ascii="Arial" w:cs="Arial" w:eastAsia="Arial" w:hAnsi="Arial"/>
          <w:sz w:val="24"/>
          <w:szCs w:val="24"/>
        </w:rPr>
        <w:t xml:space="preserve">(iv) Реабилитация международных транспортных коридоров северного направления (автодорога Тараз-Талас-Суусамыр) предоставит транспортное сообщение для Таласской области с другими регионами нашей республики по автодороге, проходящей только по территории Кыргызстана. Данный проект реализуется при поддержке ИБР.</w:t>
      </w:r>
    </w:p>
    <w:p>
      <w:pPr>
        <w:spacing w:after="120"/>
        <w:jc w:val="both"/>
      </w:pPr>
      <w:r>
        <w:rPr>
          <w:rFonts w:ascii="Arial" w:cs="Arial" w:eastAsia="Arial" w:hAnsi="Arial"/>
          <w:sz w:val="24"/>
          <w:szCs w:val="24"/>
        </w:rPr>
        <w:t xml:space="preserve">(v) Реализация проекта "Реабилитация автодороги "Иссыккульское кольцо", что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188. Для обеспечения доступа к местным рынкам товаров, работ и услуг будет осуществляться дальнейшая реализация Программы "В каждый населенный пункт - маршрутное сообщение", предусматривающей комплекс мер по охвату населенных пунктов в сельской местности автобусным сообщением, ремонту внутренних дорог по приведению их состояния к минимальным рабочим стандартам, усилению работы Государственной транспортной инспекции.</w:t>
      </w:r>
    </w:p>
    <w:p>
      <w:pPr>
        <w:spacing w:after="120"/>
        <w:jc w:val="both"/>
      </w:pPr>
      <w:r>
        <w:rPr>
          <w:rFonts w:ascii="Arial" w:cs="Arial" w:eastAsia="Arial" w:hAnsi="Arial"/>
          <w:sz w:val="24"/>
          <w:szCs w:val="24"/>
        </w:rPr>
        <w:t xml:space="preserve">189. В рамках принятого 22 февраля 2012 года Закона Кыргызской Республики "О государственно-частном партнерстве в Кыргызской Республике" предусмотрено широкое внедрение этого механизма в сфере инфраструктурных проектов. Поэтому, Правительство на основе государственно-частного партнерства намерено рассмотреть запуск двух проектов по строительству автомагистралей: (i) Кара-Балта-Кемин и (ii) Алма-Ата-Кемин-Чолпон-Ата.</w:t>
      </w:r>
    </w:p>
    <w:p>
      <w:pPr>
        <w:spacing w:after="120"/>
        <w:jc w:val="both"/>
      </w:pPr>
      <w:r>
        <w:rPr>
          <w:rFonts w:ascii="Arial" w:cs="Arial" w:eastAsia="Arial" w:hAnsi="Arial"/>
          <w:sz w:val="24"/>
          <w:szCs w:val="24"/>
        </w:rPr>
        <w:t xml:space="preserve">190. Правительство США заявило о готовности выделить Кыргызской Республике грант в размере 30,0 млн. долл. США для модернизации аэронавигационного оборудования. Будет привлечены инвестиции для модернизации аэропортов "Ош" и "Иссык-Куль".</w:t>
      </w:r>
    </w:p>
    <w:p>
      <w:pPr>
        <w:spacing w:after="120"/>
        <w:jc w:val="both"/>
      </w:pPr>
      <w:r>
        <w:rPr>
          <w:rFonts w:ascii="Arial" w:cs="Arial" w:eastAsia="Arial" w:hAnsi="Arial"/>
          <w:sz w:val="24"/>
          <w:szCs w:val="24"/>
        </w:rPr>
        <w:t xml:space="preserve">191. Планируется привлечь инвесторов для разработки ТЭО строительства железных дорог "Китай-Кыргызстан-Узбекистан" и "Балыкчы-Кочкор-Кара-Кече-Арпа".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5.6.9.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Одним из основных направлений Национальной стратегии "ИКТ для развития Кыргызской Республики" является интеграция в общемировую информационную сеть за счет построения современной сети передачи данных, которая станет базисом для повышения транзитного потенциала Кыргызской Республики. Проводится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Будет продолжено строительство ВОЛС, в частности, по направлениям: Балыкчи-Каракол, Ош-Иркештам и Ош-Узген-Джалалабат-Ташкумыр.</w:t>
      </w:r>
    </w:p>
    <w:p>
      <w:pPr>
        <w:spacing w:after="120"/>
        <w:jc w:val="both"/>
      </w:pPr>
      <w:r>
        <w:rPr>
          <w:rFonts w:ascii="Arial" w:cs="Arial" w:eastAsia="Arial" w:hAnsi="Arial"/>
          <w:sz w:val="24"/>
          <w:szCs w:val="24"/>
        </w:rPr>
        <w:t xml:space="preserve">193. Для привлечения инвестиций и современных технологий в разработку востребованных на международных рынках программных продуктов принят Закон Кыргызской Республики "О Парке высоких технологий в Кыргызской Республике".</w:t>
      </w:r>
    </w:p>
    <w:p>
      <w:pPr>
        <w:spacing w:after="120"/>
        <w:jc w:val="both"/>
      </w:pPr>
      <w:r>
        <w:rPr>
          <w:rFonts w:ascii="Arial" w:cs="Arial" w:eastAsia="Arial" w:hAnsi="Arial"/>
          <w:sz w:val="24"/>
          <w:szCs w:val="24"/>
        </w:rPr>
        <w:t xml:space="preserve">194. Вместе с тем в отрасли имеются множество проблем, в частности: (i) неравномерное развитие телекоммуникационной инфраструктуры регионов и крупных городов республики; (ii) низкий уровень состояния телефонной связи в сельских районах (в 142 населенных пунктах отсутствует телевизионное и радиовещание, в 126 - телефонная связь); (iii) действующая сеть связи в сельских и труднодоступных районах имеет высокую себестоимость и является нерентабельной, которая дотируется за счет перераспределения доходов; (iv) состояние телевидения и радиовещания в сельской местности не отвечает сегодняшним требованиям; (v) оборудование радиорелейных станций физически и морально устарело, неудовлетворительно качество передач; (vi) низкий уровень автоматизации почтовых услуг связи и слабое оснащение ИКТ.</w:t>
      </w:r>
    </w:p>
    <w:p>
      <w:pPr>
        <w:spacing w:after="120"/>
        <w:jc w:val="both"/>
      </w:pPr>
      <w:r>
        <w:rPr>
          <w:rFonts w:ascii="Arial" w:cs="Arial" w:eastAsia="Arial" w:hAnsi="Arial"/>
          <w:sz w:val="24"/>
          <w:szCs w:val="24"/>
        </w:rPr>
        <w:t xml:space="preserve">195. В Кыргызской Республике внедряется наземное цифровое телерадиовещание. К концу 2014 года планируется охватить цифровым вещанием 90% населения Кыргызской Республики. Проводится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w:t>
      </w:r>
    </w:p>
    <w:p>
      <w:pPr>
        <w:spacing w:after="120"/>
        <w:jc w:val="both"/>
      </w:pPr>
      <w:r>
        <w:rPr>
          <w:rFonts w:ascii="Arial" w:cs="Arial" w:eastAsia="Arial" w:hAnsi="Arial"/>
          <w:sz w:val="24"/>
          <w:szCs w:val="24"/>
        </w:rPr>
        <w:t xml:space="preserve">196. В Кыргызской Республике планируется внедрение системы "Электронное Правительство": (i) внедрение мультисервисной информационно-коммуникационной системы и системы электронного документооборота в государственных органах; (ii) реализация Программы "Интернет в каждом айыл окмоту"; (iii) созданию Центров общественного доступа (ЦОД) к ИКТ на базе ГП "Кыргыз почтасы".</w:t>
      </w:r>
    </w:p>
    <w:p>
      <w:pPr>
        <w:spacing w:after="120"/>
        <w:jc w:val="both"/>
      </w:pPr>
      <w:r>
        <w:rPr>
          <w:rFonts w:ascii="Arial" w:cs="Arial" w:eastAsia="Arial" w:hAnsi="Arial"/>
          <w:sz w:val="24"/>
          <w:szCs w:val="24"/>
        </w:rPr>
        <w:t xml:space="preserve">197. Для модернизации и развития сети отделений связи ГП "Кыргыз почтасы" планируется расширение почтовых и финансовых услуг, установка современных технологий в отделениях связи ГП "Кыргыз почтасы" и создание "Почта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5.6.10. Внешнеэкономическая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Основными приоритетами внешней политики Кыргызской Республики является защита национальных интересов, развитие дружественных и взаимовыгодных отношений с соседними странами, ведущими мировыми державами и активное участие в интеграционных объединениях. Для достижения цели расширения сотрудничества и активного продвижения интересов Кыргызстана в рамках интеграционных объединений и двустороннего сотрудничества настоящая Программа предусматривает:</w:t>
      </w:r>
    </w:p>
    <w:p>
      <w:pPr>
        <w:spacing w:after="120"/>
        <w:jc w:val="both"/>
      </w:pPr>
      <w:r>
        <w:rPr>
          <w:rFonts w:ascii="Arial" w:cs="Arial" w:eastAsia="Arial" w:hAnsi="Arial"/>
          <w:sz w:val="24"/>
          <w:szCs w:val="24"/>
        </w:rPr>
        <w:t xml:space="preserve">(i) Сотрудничество в рамках региональных объединений. Будет продолжено сотрудничество в рамках многосторонних организаций и объединений (СНГ, ЕврАзЭС, Таможенного союза, ШОС, ОДКБ и др.). Участие в данных организациях предоставляет Кыргызстану возможность получать положительные эффекты от многих жизненно важных региональных проектов в транспортной, энергетической, банковской и других сферах. Реализуемые и планируемые крупные региональные экономические проекты создадут для Кыргызстана условия по обеспечению внутренней политической стабильности и перспективы для экономического роста.</w:t>
      </w:r>
    </w:p>
    <w:p>
      <w:pPr>
        <w:spacing w:after="120"/>
        <w:jc w:val="both"/>
      </w:pPr>
      <w:r>
        <w:rPr>
          <w:rFonts w:ascii="Arial" w:cs="Arial" w:eastAsia="Arial" w:hAnsi="Arial"/>
          <w:sz w:val="24"/>
          <w:szCs w:val="24"/>
        </w:rPr>
        <w:t xml:space="preserve">(ii) Сотрудничество со странами-донорами и международными финансовыми институтами является основой для финансовой поддержки инфраструктурных проектов и реализации структурных реформ в Кыргызской Республике. Имеющиеся проблемы недостаточной координации внешней финансовой помощи требуют проведения единой политики по управлению внешней помощью. Поэтому Правительство намерено разработать и внедрить систему координации внешней помощи. Правительство создаст единую базу данных по проектам внешней помощи и обеспечит их эффективную реализацию.</w:t>
      </w:r>
    </w:p>
    <w:p>
      <w:pPr>
        <w:spacing w:after="120"/>
        <w:jc w:val="both"/>
      </w:pPr>
      <w:r>
        <w:rPr>
          <w:rFonts w:ascii="Arial" w:cs="Arial" w:eastAsia="Arial" w:hAnsi="Arial"/>
          <w:sz w:val="24"/>
          <w:szCs w:val="24"/>
        </w:rPr>
        <w:t xml:space="preserve">(iii) Повышение роли межправительственных торгово-экономических комиссий. Будут подготовлены предложения по укреплению потенциала Секретариата межправительственных комиссий и разработаны механизмы мониторинга и оценки эффективности их работы.</w:t>
      </w:r>
    </w:p>
    <w:p>
      <w:pPr>
        <w:spacing w:after="120"/>
        <w:jc w:val="both"/>
      </w:pPr>
      <w:r>
        <w:rPr>
          <w:rFonts w:ascii="Arial" w:cs="Arial" w:eastAsia="Arial" w:hAnsi="Arial"/>
          <w:sz w:val="24"/>
          <w:szCs w:val="24"/>
        </w:rPr>
        <w:t xml:space="preserve">VI. Государственное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Реформа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Слабая информированность общества о результатах деятельности государственных органов, чрезмерное влияние и вмешательство государственных органов в бизнес-среду, наличие противоречий в нормативной правовой базе, отсутствие прозрачных и действенных механизмов управления государственными активами становится серьезным препятствием в развитии государства.</w:t>
      </w:r>
    </w:p>
    <w:p>
      <w:pPr>
        <w:spacing w:after="120"/>
        <w:jc w:val="both"/>
      </w:pPr>
      <w:r>
        <w:rPr>
          <w:rFonts w:ascii="Arial" w:cs="Arial" w:eastAsia="Arial" w:hAnsi="Arial"/>
          <w:sz w:val="24"/>
          <w:szCs w:val="24"/>
        </w:rPr>
        <w:t xml:space="preserve">200. Реформирование структуры исполнительной власти направлено на создание рациональной модели системы государственного управления в условиях жестких бюджетных ограничений и будет сопровождаться сокращением штатной численности государственных служащих, а также отменой излишних государственных услуг, властных функций и полномочий.</w:t>
      </w:r>
    </w:p>
    <w:p>
      <w:pPr>
        <w:spacing w:after="120"/>
        <w:jc w:val="both"/>
      </w:pPr>
      <w:r>
        <w:rPr>
          <w:rFonts w:ascii="Arial" w:cs="Arial" w:eastAsia="Arial" w:hAnsi="Arial"/>
          <w:sz w:val="24"/>
          <w:szCs w:val="24"/>
        </w:rPr>
        <w:t xml:space="preserve">201. Предстоит построить компактную, мобильную систему исполнительной власти, нацеленную на результат, обеспечивающую эффективное управление активами государства, и основанную на принципах открытости и конструктивного диалога с обществом. С этой целью Правительство намерено: (i) провести разграничение и оптимизацию функций государственных органов с исключением дублирования и параллелизма; (ii) сократить штатную численность госорганов; (iii) провести оптимизацию сферы государственных услуг и осуществить переход на электронный формат их предоставления ("Электронное правительство"); (iv) упорядочить и сократить служебный автотранспорт государственных органов; (v) провести анализ возможностей замещений отдельных рабочих мест новыми технологиями (автоматизация процессов) и подходами в области управления с поэтапным сокращением штатной численности государственных служащих; (vi) внедрить ресурсные соглашения в целях повышения эффективности и профессионализма в системе государственного управления.</w:t>
      </w:r>
    </w:p>
    <w:p>
      <w:pPr>
        <w:spacing w:after="120"/>
        <w:jc w:val="both"/>
      </w:pPr>
      <w:r>
        <w:rPr>
          <w:rFonts w:ascii="Arial" w:cs="Arial" w:eastAsia="Arial" w:hAnsi="Arial"/>
          <w:sz w:val="24"/>
          <w:szCs w:val="24"/>
        </w:rPr>
        <w:t xml:space="preserve">202. В регламенты работ государственных органов будут включены механизмы обязательного привлечения представителей гражданского общества и общественных наблюдательных советов (ОИС) к разработке стратегических документов и нормативных правовых актов, экспертизе государственных решений, а также их мониторингу и оценке. Это позволит повысить прозрачность и эффективность принимаемых Правительством решений.</w:t>
      </w:r>
    </w:p>
    <w:p>
      <w:pPr>
        <w:spacing w:after="120"/>
        <w:jc w:val="both"/>
      </w:pPr>
      <w:r>
        <w:rPr>
          <w:rFonts w:ascii="Arial" w:cs="Arial" w:eastAsia="Arial" w:hAnsi="Arial"/>
          <w:sz w:val="24"/>
          <w:szCs w:val="24"/>
        </w:rPr>
        <w:t xml:space="preserve">203. На системной основе будет проводиться работа по обеспечению граждан и общества своевременной, необходимой и достоверной информацией по принимаемым решениям.</w:t>
      </w:r>
    </w:p>
    <w:p>
      <w:pPr>
        <w:spacing w:after="120"/>
        <w:jc w:val="both"/>
      </w:pPr>
      <w:r>
        <w:rPr>
          <w:rFonts w:ascii="Arial" w:cs="Arial" w:eastAsia="Arial" w:hAnsi="Arial"/>
          <w:sz w:val="24"/>
          <w:szCs w:val="24"/>
        </w:rPr>
        <w:t xml:space="preserve">204. Особое внимание будет уделено состоянию и качеству существующих ведомственных сайтов, внедрению режимов обратной связи с населением и общественностью, проведению обсуждений по проблемным вопросам, а также систематическому обновлению новостных полос.</w:t>
      </w:r>
    </w:p>
    <w:p>
      <w:pPr>
        <w:spacing w:after="120"/>
        <w:jc w:val="both"/>
      </w:pPr>
      <w:r>
        <w:rPr>
          <w:rFonts w:ascii="Arial" w:cs="Arial" w:eastAsia="Arial" w:hAnsi="Arial"/>
          <w:sz w:val="24"/>
          <w:szCs w:val="24"/>
        </w:rPr>
        <w:t xml:space="preserve">205. Будут разработаны и внедрены механизмы сокращения влияния чиновника на бизнес, в том числе путем жесткого контроля над его деятельностью.</w:t>
      </w:r>
    </w:p>
    <w:p>
      <w:pPr>
        <w:spacing w:after="120"/>
        <w:jc w:val="both"/>
      </w:pPr>
      <w:r>
        <w:rPr>
          <w:rFonts w:ascii="Arial" w:cs="Arial" w:eastAsia="Arial" w:hAnsi="Arial"/>
          <w:sz w:val="24"/>
          <w:szCs w:val="24"/>
        </w:rPr>
        <w:t xml:space="preserve">206.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w:t>
      </w:r>
    </w:p>
    <w:p>
      <w:pPr>
        <w:spacing w:after="120"/>
        <w:jc w:val="both"/>
      </w:pPr>
      <w:r>
        <w:rPr>
          <w:rFonts w:ascii="Arial" w:cs="Arial" w:eastAsia="Arial" w:hAnsi="Arial"/>
          <w:sz w:val="24"/>
          <w:szCs w:val="24"/>
        </w:rPr>
        <w:t xml:space="preserve">207. Результатом этих мер станет резкое сокращение коррупции, стимулирование развития предпринимательства, снижение нагрузки на бюджет, повышение эффективности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Оценка эффективности деятельности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Правительством будет разработана и применена сбалансированная система показателей и критериев оценки эффективности деятельности государственных органов. Будет разработана и внедрена система индикаторов, позволяющая оценить конечный результат деятельности каждого государственного органа и его персонала, ориентированного на: (i) создание условий для сравнения и сопоставимости оценок; (ii) оценку результатов, а не процесса; (iii) использование результатов оценки в качестве основания для корректировки действий органов исполнительной власти; (iv) вовлечение гражданского общества в оценку; (v) использование независимых международных рейтинговых исследований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Реформа условий работы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209. Компетентность, профессионализм, творческий потенциал работников системы государственного управления будут главными критериями оценки проводимых реформ. Сегодня действующая конкурсная система отбора не позволяет повысить потенциал государственных управленцев и снижает мотивацию государственных служащих к карьерному росту. Для решения этой проблемы предполагается осуществить переход от модели сплошного конкурсного отбора на все государственные административные должности к карьерной системе. Конкурсы станут обязательными лишь в "точке входа" в систему молодых специалистов. Дальнейшее продвижение по "карьерной лестнице" будет осуществляться на основе личных заслуг специалиста, то есть, с учетом качества его работы.</w:t>
      </w:r>
    </w:p>
    <w:p>
      <w:pPr>
        <w:spacing w:after="120"/>
        <w:jc w:val="both"/>
      </w:pPr>
      <w:r>
        <w:rPr>
          <w:rFonts w:ascii="Arial" w:cs="Arial" w:eastAsia="Arial" w:hAnsi="Arial"/>
          <w:sz w:val="24"/>
          <w:szCs w:val="24"/>
        </w:rPr>
        <w:t xml:space="preserve">210. Отсутствие системы целевой и единой подготовки, переподготовки и повышения квалификации государственных служащих обуславливает их низкий уровень компетентности.</w:t>
      </w:r>
    </w:p>
    <w:p>
      <w:pPr>
        <w:spacing w:after="120"/>
        <w:jc w:val="both"/>
      </w:pPr>
      <w:r>
        <w:rPr>
          <w:rFonts w:ascii="Arial" w:cs="Arial" w:eastAsia="Arial" w:hAnsi="Arial"/>
          <w:sz w:val="24"/>
          <w:szCs w:val="24"/>
        </w:rPr>
        <w:t xml:space="preserve">211. В рамках намеченных реформ Правительство намерено:</w:t>
      </w:r>
    </w:p>
    <w:p>
      <w:pPr>
        <w:spacing w:after="120"/>
        <w:jc w:val="both"/>
      </w:pPr>
      <w:r>
        <w:rPr>
          <w:rFonts w:ascii="Arial" w:cs="Arial" w:eastAsia="Arial" w:hAnsi="Arial"/>
          <w:sz w:val="24"/>
          <w:szCs w:val="24"/>
        </w:rPr>
        <w:t xml:space="preserve">(i) разработать новую редакцию Трудового кодекса Кыргызской Республики и Закон Кыргызской Республики "О государственной службе"; (ii) осуществить переход от модели сплошного конкурсного отбора на все государственные административные должности к карьерной системе; (iii) принять положения и нормы, предусматривающие преимущественный прием, рост и продвижение на государственной и муниципальной службе для лиц, владеющих кыргызским, русским и английским языком (на разговорном уровне); (iv) разработать и внедрить систему оплаты труда по результатам оценки деятельности госслужащих; (v) разработать и утвердить правовые нормы по применению дополнительных методов изучения профессиональных и личностных качеств государственных служащих, в том числе психометрического тестирования и проверки на полиграфе; (vi) внедрить нормы, предусматривающие усиление ответственности государственных служащих за нарушение законности и этики служебного поведения; (vii) осуществить переход на единую систему формирования государственного заказа на проведение целевой подготовки, переподготовки и повышение квалификации для государственных органов через Академию управления при Президенте Кыргызской Республики; (viii) будут внесены изменения и дополнения в Закон Кыргызской Республики "О государственной службе" по ограничению назначений советников и помощников на государственные административные должности без прохождения конкурсного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Административно-территориальная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эффективной системы государственного и муниципального управления, направленной на усиление потенциала регионов и повышение благосостояния населения страны, будет разработана сбалансированная система административно-территориального устройства Кыргызской Республики.</w:t>
      </w:r>
    </w:p>
    <w:p>
      <w:pPr>
        <w:spacing w:after="120"/>
        <w:jc w:val="both"/>
      </w:pPr>
      <w:r>
        <w:rPr>
          <w:rFonts w:ascii="Arial" w:cs="Arial" w:eastAsia="Arial" w:hAnsi="Arial"/>
          <w:sz w:val="24"/>
          <w:szCs w:val="24"/>
        </w:rPr>
        <w:t xml:space="preserve">На первоначальном этапе утверждена правительственным решением 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дальнейшем административно-территориальная реформа будет направлена на: (i) устранение дублирования в структуре государственного и муниципального управления, повышение их эффективности, сокращение бюджетных расходов; (ii) гармонизацию нормативной правовой базы в сфере муниципального управления; (iii) усиление потенциала регионов путем укрепления их финансовой самостоятельности; (iv) создание доступной и эффективной системы предоставления государственных и муниципальных услуг; (v)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Коррупция в Кыргызской Республике стала представлять серьезную угрозу национальной безопасности страны. По данным международных оценок, согласно известному Индексу восприятия коррупции Трансперенси Интернэшнл, Кыргызская Республика в 2010 году заняла 164-е место в мире из 178 стран и 166-е место - в 2011 году (среди 180) и находится в группе стран с высоким уровнем коррупции.</w:t>
      </w:r>
    </w:p>
    <w:p>
      <w:pPr>
        <w:spacing w:after="120"/>
        <w:jc w:val="both"/>
      </w:pPr>
      <w:r>
        <w:rPr>
          <w:rFonts w:ascii="Arial" w:cs="Arial" w:eastAsia="Arial" w:hAnsi="Arial"/>
          <w:sz w:val="24"/>
          <w:szCs w:val="24"/>
        </w:rPr>
        <w:t xml:space="preserve">213. Поэтому, в рамках реформ системы государственного управления Правительством взят курс на борьбу с коррупцией. Будут разработаны механизмы сокращения влияния чиновника на бизнес, в том числе, жесткого контроля за его деятельностью.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w:t>
      </w:r>
    </w:p>
    <w:p>
      <w:pPr>
        <w:spacing w:after="120"/>
        <w:jc w:val="both"/>
      </w:pPr>
      <w:r>
        <w:rPr>
          <w:rFonts w:ascii="Arial" w:cs="Arial" w:eastAsia="Arial" w:hAnsi="Arial"/>
          <w:sz w:val="24"/>
          <w:szCs w:val="24"/>
        </w:rPr>
        <w:t xml:space="preserve">214. Для реализации этих задач Президентом создана Антикоррупционная служба при Государственном комитете национальной безопасности страны. В его задачи будут входить проведение соответствующей информационно-аналитической и разъяснительной работы, выявление и пресечение коррупционных схем, фактов взяточничества и вымогательства со стороны суден, прокурорских, милицейских и военных чинов, государственных служащих всех уровней.</w:t>
      </w:r>
    </w:p>
    <w:p>
      <w:pPr>
        <w:spacing w:after="120"/>
        <w:jc w:val="both"/>
      </w:pPr>
      <w:r>
        <w:rPr>
          <w:rFonts w:ascii="Arial" w:cs="Arial" w:eastAsia="Arial" w:hAnsi="Arial"/>
          <w:sz w:val="24"/>
          <w:szCs w:val="24"/>
        </w:rPr>
        <w:t xml:space="preserve">215. Общественная поддержка станет одним из ключевых элементов борьбы с коррупцией. Поэтому будут значительно расширены мероприятия по привлечению гражданского общества. Правительство окажет всемерную поддержку созданию системы гражданского контроля.</w:t>
      </w:r>
    </w:p>
    <w:p>
      <w:pPr>
        <w:spacing w:after="120"/>
        <w:jc w:val="both"/>
      </w:pPr>
      <w:r>
        <w:rPr>
          <w:rFonts w:ascii="Arial" w:cs="Arial" w:eastAsia="Arial" w:hAnsi="Arial"/>
          <w:sz w:val="24"/>
          <w:szCs w:val="24"/>
        </w:rPr>
        <w:t xml:space="preserve">216. Правительством будут инициированы и внесены жесткие законы и радикальные меры наказания за коррупцию и злоупотребления служебным положением, а также предложены реальные механизмы, гарантирующие неотвратимость наказания за уголовные преступления.</w:t>
      </w:r>
    </w:p>
    <w:p>
      <w:pPr>
        <w:spacing w:after="120"/>
        <w:jc w:val="both"/>
      </w:pPr>
      <w:r>
        <w:rPr>
          <w:rFonts w:ascii="Arial" w:cs="Arial" w:eastAsia="Arial" w:hAnsi="Arial"/>
          <w:sz w:val="24"/>
          <w:szCs w:val="24"/>
        </w:rPr>
        <w:t xml:space="preserve">217. Декларационная компания до настоящего момента ограничивается только сбором деклараций государственных служащих. Правительство намерено инициировать механизмы проверок и верификации деклараций государственных служащих и нормативно утвердить меры ответственности за предоставление недостоверной информации.</w:t>
      </w:r>
    </w:p>
    <w:p>
      <w:pPr>
        <w:spacing w:after="120"/>
        <w:jc w:val="both"/>
      </w:pPr>
      <w:r>
        <w:rPr>
          <w:rFonts w:ascii="Arial" w:cs="Arial" w:eastAsia="Arial" w:hAnsi="Arial"/>
          <w:sz w:val="24"/>
          <w:szCs w:val="24"/>
        </w:rPr>
        <w:t xml:space="preserve">218. Будет обновлен антикоррупционный Интернет-сайт Правительства, а система электронного учета поданных заявлений и обратная связь о ходе рассмотрения заявлений будет усовершенствована.</w:t>
      </w:r>
    </w:p>
    <w:p>
      <w:pPr>
        <w:spacing w:after="120"/>
        <w:jc w:val="both"/>
      </w:pPr>
      <w:r>
        <w:rPr>
          <w:rFonts w:ascii="Arial" w:cs="Arial" w:eastAsia="Arial" w:hAnsi="Arial"/>
          <w:sz w:val="24"/>
          <w:szCs w:val="24"/>
        </w:rPr>
        <w:t xml:space="preserve">219. Будет установлен единый орган по осуществлению государственных закупок с публичным освещением условий и принятых решений. В связи с переходом на единую электронную систему государственных закупок будут упразднены имеющиеся подразделения по государственным закупкам в отдельных госорганах, с сохранением или возложением функций на одного сотрудника (сертифицированного специалиста по закупкам).</w:t>
      </w:r>
    </w:p>
    <w:p>
      <w:pPr>
        <w:spacing w:after="120"/>
        <w:jc w:val="both"/>
      </w:pPr>
      <w:r>
        <w:rPr>
          <w:rFonts w:ascii="Arial" w:cs="Arial" w:eastAsia="Arial" w:hAnsi="Arial"/>
          <w:sz w:val="24"/>
          <w:szCs w:val="24"/>
        </w:rPr>
        <w:t xml:space="preserve">Меры политики по противодействию коррупции, которые получили применение в мировой практике и тесно взаимосвязаны между собой, будут проводиться по следующим направлениям: (i) привлечение институтов гражданского сектора к работе по противодействию коррупции через создание комитетов гражданского контроля; (ii) создание системы правового просвещения населения и информирование общественности о коррупционных рисках в той или иной сфере; (iii) совершенствование и развитие правовой основы для противодействия коррупции; (iv) устранение коррупциогенных факторов, препятствующих созданию благоприятных условий для привлечения инвестиций; (v) улучшение системы учета государственного имущества и оценки эффективности его использования; (vi) внедрение в деятельность органов государственной власти, органов государственного управления и местного самоуправления форм и методов, обеспечивающих эффективность противодействия коррупции; (vii) распространение ограничений, запретов и обязанностей, установленных законодательными актами Кыргызской Республики в целях предупреждения коррупции на лиц, замещающих государственные должности; (viii) исследование состояния коррупции и эффективности мер, принимаемых по ее предупреждению, выявлению и пресечению, устранению условий и причин, создающих и провоцирующих коррупцию; (ix) совершенствование правоприменительной практики правоохранительных органов и судов по делам коррупционного характера; (x) улучшение методики расследования коррупционных преступлений и их закрепление в правоохранительной деятельности; (xi) совершенствование форм антикоррупционной экспертизы нормативных правовых актов и их проектов; (xii) обеспечение четкого регламентирования денежных сборов во всех государственных учреждениях; (xiii) расширение участия Кыргызской Республики в международных и региональных антикоррупционных программах, в том числе расширение сотрудничества с сетью Организации экономического сотрудничества и развития (ОЭСР) по борьбе с коррупцией; (xiv) обеспечение регулярного обмена опытом с зарубежными антикоррупционными структурами.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Реформа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 Для оптимизация нормотворческой деятельности и гармонизации действующего законодательства с основными идеями и принципами, заложенными в новой Конституции Кыргызской Республики, Правительством намечено: (i) разработать проекты нормативных правовых актов, направленных на устранение коллизий и пробелов в законодательстве; (ii) разработать механизмы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 (iii) законодательно закрепить прекращение принятия нормативных правовых актов, реализация которых не обеспечена соответствующими финансовыми ресурсами; (iv) разработать проект нормативного правового акта, направленного на регламентацию деятельности физических и юридических лиц, которые будут осуществлять специализированные виды экспертиз проектов нормативных правовых актов.</w:t>
      </w:r>
    </w:p>
    <w:p>
      <w:pPr>
        <w:spacing w:after="120"/>
        <w:jc w:val="both"/>
      </w:pPr>
      <w:r>
        <w:rPr>
          <w:rFonts w:ascii="Arial" w:cs="Arial" w:eastAsia="Arial" w:hAnsi="Arial"/>
          <w:sz w:val="24"/>
          <w:szCs w:val="24"/>
        </w:rPr>
        <w:t xml:space="preserve">221. Для повышения качества выполнения международных обязательств в области защиты прав человека планируется: (i) провести функциональный анализ деятельности органов исполнительной власти, в компетенцию которых входит обеспечение прав человека; (ii) утвердить единый координирующий государственный орган и определить единую политику в области подготовки национальных докладов по правам человека.</w:t>
      </w:r>
    </w:p>
    <w:p>
      <w:pPr>
        <w:spacing w:after="120"/>
        <w:jc w:val="both"/>
      </w:pPr>
      <w:r>
        <w:rPr>
          <w:rFonts w:ascii="Arial" w:cs="Arial" w:eastAsia="Arial" w:hAnsi="Arial"/>
          <w:sz w:val="24"/>
          <w:szCs w:val="24"/>
        </w:rPr>
        <w:t xml:space="preserve">VII.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Государственная регуляторная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В настоящее время частный сектор, включая малый и средний бизнес, вносит существенный вклад в развитие экономики страны. Фундаментом эффективного развития бизнеса служит осуществляемая государством политика поддержки и развития предпринимательства, направленная на создание эффективно работающей экономической системы, способной к саморазвитию.</w:t>
      </w:r>
    </w:p>
    <w:p>
      <w:pPr>
        <w:spacing w:after="120"/>
        <w:jc w:val="both"/>
      </w:pPr>
      <w:r>
        <w:rPr>
          <w:rFonts w:ascii="Arial" w:cs="Arial" w:eastAsia="Arial" w:hAnsi="Arial"/>
          <w:sz w:val="24"/>
          <w:szCs w:val="24"/>
        </w:rPr>
        <w:t xml:space="preserve">223. Предпринимательство в Кыргызстане сегодня является главным источником занятости, ускоренное развитие которого можно осуществить при относительно небольших уровнях инвестиций, получив при этом существенное позитивное воздействие на решение проблемы сокращения бедности в стране.</w:t>
      </w:r>
    </w:p>
    <w:p>
      <w:pPr>
        <w:spacing w:after="120"/>
        <w:jc w:val="both"/>
      </w:pPr>
      <w:r>
        <w:rPr>
          <w:rFonts w:ascii="Arial" w:cs="Arial" w:eastAsia="Arial" w:hAnsi="Arial"/>
          <w:sz w:val="24"/>
          <w:szCs w:val="24"/>
        </w:rPr>
        <w:t xml:space="preserve">224. Усилиями Правительства и бизнес-сообщества в стране последовательно проводились кардинальные реформы в сферы предпринимательства. Имеется значительная нормативная правовая база, законодательно закрепляющая права и обязанности государства и бизнеса перед гражданами страны. Созданы бизнес-площадки для ведения диалога государства и бизнеса, принятия предложений и решений по вопросам развития и поддержки предпринимательства. Сейчас функционирует большое количество различных бизнес-ассоциаций и сообществ. Кардинальные реформы произошли в конце 2011 года, когда была проведена реформа в системе государственного управления, которая позволила значительно сократить государственный аппарат в Правительстве Кыргызской Республики, пересмотреть необходимость функционирования отдельных ведомств, исключить дублирующие функции между госорганами и другие. Одним из значимых шагов в сфере проверок субъектов предпринимательства стало создание двух новых инспектирующих органов: (i) Государственная инспекция по пищевой, ветеринарной и фитосанитарной безопасности при Правительстве Кыргызской Республики и (ii)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225. Проблемой продолжает оставаться действующая система законодательства. Ее исполнение в административной сфере имеет ряд недостатков, к числу которых относится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w:t>
      </w:r>
    </w:p>
    <w:p>
      <w:pPr>
        <w:spacing w:after="120"/>
        <w:jc w:val="both"/>
      </w:pPr>
      <w:r>
        <w:rPr>
          <w:rFonts w:ascii="Arial" w:cs="Arial" w:eastAsia="Arial" w:hAnsi="Arial"/>
          <w:sz w:val="24"/>
          <w:szCs w:val="24"/>
        </w:rPr>
        <w:t xml:space="preserve">226. Принятые законы, регулирующие деятельность бизнеса, не проанализированы с точки зрения их регулятивного воздействия. Нередки случаи принятия законопроектов в обход бизнеса, без проведения общественных слушаний, анализа регулятивного воздействия и других экспертиз, требуемых законом.</w:t>
      </w:r>
    </w:p>
    <w:p>
      <w:pPr>
        <w:spacing w:after="120"/>
        <w:jc w:val="both"/>
      </w:pPr>
      <w:r>
        <w:rPr>
          <w:rFonts w:ascii="Arial" w:cs="Arial" w:eastAsia="Arial" w:hAnsi="Arial"/>
          <w:sz w:val="24"/>
          <w:szCs w:val="24"/>
        </w:rPr>
        <w:t xml:space="preserve">227. До сих пор существует большое количество барьеров для субъектов предпринимательства, ограничивающих их вход на внутренние и внешние рынки, а также создающих проблемы при ведении бизнеса (неясные и размытые процедуры лицензирования). По-прежнему отсутствуют четкие нормативные требования, предъявляемые государством к ведению бизнеса, по обеспечению безопасности жизни и здоровья граждан, окружающей среды (предлицензионные и постлицензионные требования, технические регламенты). На сегодня существуют свыше 500 видов лицензионно-разрешительных документов, которые по мнению бизнес-сообщества необходимо сократить.</w:t>
      </w:r>
    </w:p>
    <w:p>
      <w:pPr>
        <w:spacing w:after="120"/>
        <w:jc w:val="both"/>
      </w:pPr>
      <w:r>
        <w:rPr>
          <w:rFonts w:ascii="Arial" w:cs="Arial" w:eastAsia="Arial" w:hAnsi="Arial"/>
          <w:sz w:val="24"/>
          <w:szCs w:val="24"/>
        </w:rPr>
        <w:t xml:space="preserve">228. Существующая ныне система государственного регулирования в контрольно-надзорной сфере является неэффективной, затратной, зачастую дублирующей, носящей, по преимуществу, формальный характер, создавая при этом значительные коррупционные риски. Проводимые проверки не обеспечивают необходимый уровень защиты и безопасности для потребителей в целом, для тех, кто пользуется результатами деятельности субъектов предпринимательства. Мониторинг в сфере проверок показывает, что на сегодня контролирующие органы проверяют все субъекты предпринимательства, что, в свою очередь, требует значительных человеческих и финансовых ресурсов для проведения таких тотальных проверок. В целях оптимизации существующей системы проведения проверок, в феврале 2012 года было принято постановление Правительства об утверждении критериев распределения субъектов предпринимательства по степеням риска их предпринимательской деятельности, позволяющей распределять субъекты предпринимательства по трем категориям риска: высокая, средняя и низкая. Вводимые критерии риска позволят государственным контролирующим органам эффективно использовать имеющиеся финансовые и трудовые ресурсы, при этом значительно сократить количество проводимых проверок.</w:t>
      </w:r>
    </w:p>
    <w:p>
      <w:pPr>
        <w:spacing w:after="120"/>
        <w:jc w:val="both"/>
      </w:pPr>
      <w:r>
        <w:rPr>
          <w:rFonts w:ascii="Arial" w:cs="Arial" w:eastAsia="Arial" w:hAnsi="Arial"/>
          <w:sz w:val="24"/>
          <w:szCs w:val="24"/>
        </w:rPr>
        <w:t xml:space="preserve">229. Для решения обозначенных проблем политика Правительства будет сфокусирована по двум основным направлениям: (i) создание стабильного законодательства, отвечающего требованиям экономики и учитывающего мнение бизнес-сообщества; (ii) снижение уровня вмешательства государства в регулирование предпринимательской деятельности, нарушающего баланс интересов государства и бизнеса.</w:t>
      </w:r>
    </w:p>
    <w:p>
      <w:pPr>
        <w:spacing w:after="120"/>
        <w:jc w:val="both"/>
      </w:pPr>
      <w:r>
        <w:rPr>
          <w:rFonts w:ascii="Arial" w:cs="Arial" w:eastAsia="Arial" w:hAnsi="Arial"/>
          <w:sz w:val="24"/>
          <w:szCs w:val="24"/>
        </w:rPr>
        <w:t xml:space="preserve">230. Для создания стабильного законодательства, отвечающего требованиям экономики и учитывающего мнения бизнес-сообщества, будут созданы условия для отмены или предотвращения принятия нормативных актов, нарушающих требования законодательства в сфере предпринимательства, через: (i) реформирование системы оценки регулятивного воздействия на управленческие решения; (ii) выработку рекомендаций по устранению необоснованных и неориентированных на рыночную экономику нормативных правовых актов через проведение регулярных встреч с бизнес-сообществом, с общественными наблюдательными советами и другими общественными организациями.</w:t>
      </w:r>
    </w:p>
    <w:p>
      <w:pPr>
        <w:spacing w:after="120"/>
        <w:jc w:val="both"/>
      </w:pPr>
      <w:r>
        <w:rPr>
          <w:rFonts w:ascii="Arial" w:cs="Arial" w:eastAsia="Arial" w:hAnsi="Arial"/>
          <w:sz w:val="24"/>
          <w:szCs w:val="24"/>
        </w:rPr>
        <w:t xml:space="preserve">231. Для снижения уровня вмешательства государства в регулирование предпринимательской деятельности будут приняты меры, которые получат нормативно-правовое и процедурное закрепление. Будет продолжено реформирование государственного регулирования в лицензионно-разрешительной и контрольно-надзорной сферах через: (i) сокращение количества действующих лицензий и разрешений; (ii) подготовку и принятие нового Закона Кыргызской Республики "О лицензионно-разрешительной системе в Кыргызской Республике" в соответствии с концепцией дерегулирования экономики; (iii) сокращение избыточных контрольно-надзорных функций; (iv) внедрение новой системы оценки критериев риска контролирующими органами; (v) введение специализированных проверочных листов каждым государственным контролирующим органом; (vi) создание обновленного механизма проверок, основанных на системе критериев риска.</w:t>
      </w:r>
    </w:p>
    <w:p>
      <w:pPr>
        <w:spacing w:after="120"/>
        <w:jc w:val="both"/>
      </w:pPr>
      <w:r>
        <w:rPr>
          <w:rFonts w:ascii="Arial" w:cs="Arial" w:eastAsia="Arial" w:hAnsi="Arial"/>
          <w:sz w:val="24"/>
          <w:szCs w:val="24"/>
        </w:rPr>
        <w:t xml:space="preserve">VIII. Социальное развитие и политика сокращения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Масштабы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Одной из главных задач Правительства остается сокращение бедности в стране. На сегодняшний день 33,7% населения страны живет за чертой бедности. Кроме того, показатель(2) глубины бедности увеличился с 5,1% в 2009 году до 7,5% в 2010 году.</w:t>
      </w:r>
    </w:p>
    <w:p>
      <w:pPr>
        <w:spacing w:after="120"/>
        <w:jc w:val="both"/>
      </w:pPr>
      <w:r>
        <w:rPr>
          <w:rFonts w:ascii="Arial" w:cs="Arial" w:eastAsia="Arial" w:hAnsi="Arial"/>
          <w:sz w:val="24"/>
          <w:szCs w:val="24"/>
        </w:rPr>
        <w:t xml:space="preserve">233. Более того, существует большой разрыв между уровнем бедности в городе (23,6%) и в селе (39,5%). Бедность в сельской местности значительно выше, чем в городских поселениях. За чертой бедности в 2010 году проживали 1 млн. 846,2 тыс. человек, 74,4% из которых являлись жителями сельских населенных пунктов.</w:t>
      </w:r>
    </w:p>
    <w:p>
      <w:pPr>
        <w:spacing w:after="120"/>
        <w:jc w:val="both"/>
      </w:pPr>
      <w:r>
        <w:rPr>
          <w:rFonts w:ascii="Arial" w:cs="Arial" w:eastAsia="Arial" w:hAnsi="Arial"/>
          <w:sz w:val="24"/>
          <w:szCs w:val="24"/>
        </w:rPr>
        <w:t xml:space="preserve">234. Уровень бедности в городских поселениях увеличился на 1,7 процентных пункта, в сельской местности - на 2,4 процентных пункта.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 Уровень бедности городского и сельского населения,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Всего       │Городское поселение │Сельская местность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бедные │  очень  │  бедные  │ очень   │  бедные │   очень │</w:t>
      </w:r>
    </w:p>
    <w:p>
      <w:pPr>
        <w:spacing w:after="120"/>
        <w:jc w:val="both"/>
      </w:pPr>
      <w:r>
        <w:rPr>
          <w:rFonts w:ascii="Arial" w:cs="Arial" w:eastAsia="Arial" w:hAnsi="Arial"/>
          <w:sz w:val="24"/>
          <w:szCs w:val="24"/>
        </w:rPr>
        <w:t xml:space="preserve">│        │         │  бедные │          │ бедные  │         │  бедные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39,9  │   9,1   │   26,7   │   5,5   │   47,7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35,0  │   6,6   │   23,2   │   3,2   │   41,7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31,7  │   6,1   │   22,6   │   3,2   │   36,8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31,7  │   3,1   │   21,9   │   2,7   │   37,1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33,7  │   5,3   │   23,6   │   4,2   │   39,5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 Из таблицы видно, что общий уровень бедности снижался с 39,9% в 2006 году до 31,7% в 2008 году, но в 2010 году этот показатель возрос до 33,7%. Особенно резко возросла бедность в сельской местности и достигла почти 40%, а крайняя бедность увеличилась в два раза и составила 6,6%.</w:t>
      </w:r>
    </w:p>
    <w:p>
      <w:pPr>
        <w:spacing w:after="120"/>
        <w:jc w:val="both"/>
      </w:pPr>
      <w:r>
        <w:rPr>
          <w:rFonts w:ascii="Arial" w:cs="Arial" w:eastAsia="Arial" w:hAnsi="Arial"/>
          <w:sz w:val="24"/>
          <w:szCs w:val="24"/>
        </w:rPr>
        <w:t xml:space="preserve">236. Неравномерное распределение доходов подтверждается также и коэффициентом Джини.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2. Коэффициент Джини (по доходам)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Джини│    0,446   │    0,422   │    0,363   │    0,371   │</w:t>
      </w:r>
    </w:p>
    <w:p>
      <w:pPr>
        <w:spacing w:after="120"/>
        <w:jc w:val="both"/>
      </w:pPr>
      <w:r>
        <w:rPr>
          <w:rFonts w:ascii="Arial" w:cs="Arial" w:eastAsia="Arial" w:hAnsi="Arial"/>
          <w:sz w:val="24"/>
          <w:szCs w:val="24"/>
        </w:rPr>
        <w:t xml:space="preserve">│(по доходам)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 Неравномерность распределения доходов снижалась (с 0,446 в 2006 году до 0,363 в 2008 году), но уже в последующем этот коэффициент возрос до 0,371 в 2010 году.</w:t>
      </w:r>
    </w:p>
    <w:p>
      <w:pPr>
        <w:spacing w:after="120"/>
        <w:jc w:val="both"/>
      </w:pPr>
      <w:r>
        <w:rPr>
          <w:rFonts w:ascii="Arial" w:cs="Arial" w:eastAsia="Arial" w:hAnsi="Arial"/>
          <w:sz w:val="24"/>
          <w:szCs w:val="24"/>
        </w:rPr>
        <w:t xml:space="preserve">238. Особую тревогу вызывает высокая детская бедность. Согласно данным Национального статистического комитета Кыргызской Республики (НСК), из общей численности детей в возрасте 0-17 лет, 40,9% проживали в условиях бедности, из них 6,5% оказались в категории крайне бедных. Уровень детской бедности в сельской местности составил 46,3%, что на 16,3 процентных пункта выше, чем в городских поселениях.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3. Доля детей, проживающих в бедности, в 2010 году,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Город      │     Село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59,1     │      70        │     53,7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40,9     │      30        │     46,3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      6,5     │       6,3      │      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 Уровень доступа к коммунальным услугам значительно отличается между городом и селом. Бедные домашние хозяйства, а также домашние хозяйства, проживающие в сельской местности, имеют менее благоустроенное жилье, так как инфраструктура в сельской местности развита слабо. Электричество является единственным видом благоустройства, охватывающим всю территорию страны. Системой централизованного отопления оснащены 33,5% городских домохозяйств и только 1,3% - сельских домохозяйств. Это указывает на исключительно городской характер предоставления услуги, связанной с централизованным теплоснабжением населения. Доступ к сети газопровода имеют 20,9% домохозяйств. Недостаточная распространенность газопровода по территории страны лишает доступа к централизованному газоснабжению практически все сельское население страны.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4. Доступ к коммунальным услугам по уровню бедности в 2010 году,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│Водопровод │ Сетевой газ│ Центральное│ Телефон  │</w:t>
      </w:r>
    </w:p>
    <w:p>
      <w:pPr>
        <w:spacing w:after="120"/>
        <w:jc w:val="both"/>
      </w:pPr>
      <w:r>
        <w:rPr>
          <w:rFonts w:ascii="Arial" w:cs="Arial" w:eastAsia="Arial" w:hAnsi="Arial"/>
          <w:sz w:val="24"/>
          <w:szCs w:val="24"/>
        </w:rPr>
        <w:t xml:space="preserve">│                    │           │            │  отопление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25,7    │    20,9    │    13,0    │   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34,5    │    24,9    │    17,6    │   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8,8    │    13,0    │     3,9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8,0    │     9,6    │     2,8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│Городские поселения │   52,4    │    46,0    │    33,5    │   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│Сельская местность  │    9,9    │     6,7    │     1,3    │   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 Каждое третье жилое помещение подключено к линии телефонной связи. Уровень обеспеченности населения телефонами в городских поселениях почти в 3 раза выше, чем в сельской местности. При этом, покрытие сотовой связью сегодня достигло уровня, превышающего 90%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Источники снабжения водой в зависимости от места жительства и уровня бедности,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│Централизо-│  Водопро- │  Колодец  │Родник, река,│</w:t>
      </w:r>
    </w:p>
    <w:p>
      <w:pPr>
        <w:spacing w:after="120"/>
        <w:jc w:val="both"/>
      </w:pPr>
      <w:r>
        <w:rPr>
          <w:rFonts w:ascii="Arial" w:cs="Arial" w:eastAsia="Arial" w:hAnsi="Arial"/>
          <w:sz w:val="24"/>
          <w:szCs w:val="24"/>
        </w:rPr>
        <w:t xml:space="preserve">│                   │  ванный   │   водная  │           │ арык, пруд, │</w:t>
      </w:r>
    </w:p>
    <w:p>
      <w:pPr>
        <w:spacing w:after="120"/>
        <w:jc w:val="both"/>
      </w:pPr>
      <w:r>
        <w:rPr>
          <w:rFonts w:ascii="Arial" w:cs="Arial" w:eastAsia="Arial" w:hAnsi="Arial"/>
          <w:sz w:val="24"/>
          <w:szCs w:val="24"/>
        </w:rPr>
        <w:t xml:space="preserve">│                   │водопровод │  колонка  │           │водохранилище│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25,7    │    59,2   │    6,6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34,5    │    51,1   │    7,4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8,8    │    74,8   │    5,0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8,0    │    77,2   │    3,5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│Городские поселения│   52,4    │    44,0   │    3,0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│Сельская местность │    9,9    │    68,2   │    8,7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 Данные за 2010 год показывают, что село также значительно отстает по показателям доступа к питьевой воде и уровень бедности коррелируется с доступом к чистой питьевой воде.</w:t>
      </w:r>
    </w:p>
    <w:p>
      <w:pPr>
        <w:spacing w:after="120"/>
        <w:jc w:val="both"/>
      </w:pPr>
      <w:r>
        <w:rPr>
          <w:rFonts w:ascii="Arial" w:cs="Arial" w:eastAsia="Arial" w:hAnsi="Arial"/>
          <w:sz w:val="24"/>
          <w:szCs w:val="24"/>
        </w:rPr>
        <w:t xml:space="preserve">242. Женщины играют активную роль в социально-экономической жизни страны и составляют 41,3% от общей численности занятого населения. Доля женщин среди занятого населения наиболее высока в секторе услуг и особенно в таких видах деятельности, как здравоохранение и предоставление социальных услуг (80,3%), образование (76,6%), гостиницы и рестораны (71,0%), предоставлении коммунальных, социальных и персональных услуг (56,6%). Довольно значительной остается занятость женщин в обрабатывающей промышленности (46,4%), а в таком виде, как текстильное и швейное производство, доля женщин достигла до 87,4%. Однако, женщины занимают ниже оплачиваемые позиции по сравнению с мужчинами и их заработная плата составляет 63,9% от заработной платы мужчин. Принимая это во внимание, а также высокую долю женщин, занятых домашним хозяйством, риск оказаться в категории бедных у женщин выше, чем у мужчин.</w:t>
      </w:r>
    </w:p>
    <w:p>
      <w:pPr>
        <w:spacing w:after="120"/>
        <w:jc w:val="both"/>
      </w:pPr>
      <w:r>
        <w:rPr>
          <w:rFonts w:ascii="Arial" w:cs="Arial" w:eastAsia="Arial" w:hAnsi="Arial"/>
          <w:sz w:val="24"/>
          <w:szCs w:val="24"/>
        </w:rPr>
        <w:t xml:space="preserve">243. По расчетным данным НСК за 2010 год, средняя продолжительность жизни в Кыргызской Республике составляет 69 лет, но и уровень рождаемости, и уровень смертности снизились до 6,6 на тысячу человек. В 2010 году прирост численности населения составил 1,1%.</w:t>
      </w:r>
    </w:p>
    <w:p>
      <w:pPr>
        <w:spacing w:after="120"/>
        <w:jc w:val="both"/>
      </w:pPr>
      <w:r>
        <w:rPr>
          <w:rFonts w:ascii="Arial" w:cs="Arial" w:eastAsia="Arial" w:hAnsi="Arial"/>
          <w:sz w:val="24"/>
          <w:szCs w:val="24"/>
        </w:rPr>
        <w:t xml:space="preserve">244. Принимая во внимание, что проблема бедности требует комплексного подхода, Правительство намерено обеспечить справедливый доступ населения к источникам экономического роста и направить экономический рост в интересах бедных. Начатые реформы системы государственного управления, включая борьбу с коррупцией, будут способствовать прозрачному управлению в процессе формирования доходов от экономической деятельности и их эффективному использованию в интересах бедного населения.</w:t>
      </w:r>
    </w:p>
    <w:p>
      <w:pPr>
        <w:spacing w:after="120"/>
        <w:jc w:val="both"/>
      </w:pPr>
      <w:r>
        <w:rPr>
          <w:rFonts w:ascii="Arial" w:cs="Arial" w:eastAsia="Arial" w:hAnsi="Arial"/>
          <w:sz w:val="24"/>
          <w:szCs w:val="24"/>
        </w:rPr>
        <w:t xml:space="preserve">245. Поэтому настоящая Программа нацелена на реализацию задач, связанных с созданием условий, в которых частный сектор сможет развиваться, процветать и обеспечивать занятость, необходимую для повышения доходов и сокращения бедности. Вместе с тем, государство сосредоточит свою деятельность на социальном развитии с применением более продуктивных и эффективных подходов в политике социальной защиты, реальной заботе о людях в обществе, которые нуждаются в элементарных благах.</w:t>
      </w:r>
    </w:p>
    <w:p>
      <w:pPr>
        <w:spacing w:after="120"/>
        <w:jc w:val="both"/>
      </w:pPr>
      <w:r>
        <w:rPr>
          <w:rFonts w:ascii="Arial" w:cs="Arial" w:eastAsia="Arial" w:hAnsi="Arial"/>
          <w:sz w:val="24"/>
          <w:szCs w:val="24"/>
        </w:rPr>
        <w:t xml:space="preserve">246. Правительство намерено провести реформы в сфере социальной защиты, здравоохранения, социального страхования, образования, рынка труда и тендерной политики. В частности, Правительство намерено повысить эффективность социального обеспечения социально-уязвимых слоев населения через предоставление своевременных и качественных социальных услуг. Концептуальным документом в сфере социальной защиты является Стратегия развития социальной защиты населения Кыргызской Республики на 2012-2014 годы, утвержденная постановлением Правительства Кыргызской Республики. На ближайшие три года основным объектом заботы государства станут дети, находящиеся в трудной жизненной ситуации, лица с ограниченными возможностями здоровья (ЛОВЗ), пожилые граждане и лица, находящиеся в группе риска (бездомные).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Правительство придает большое значение предоставлению населению качественных услуг по социальной защите и, несмотря на экономические и политические потрясения 2009 и 2010 годов, Правительству удалось выполнить все обязательства по социальным гарантиям в полном объеме.</w:t>
      </w:r>
    </w:p>
    <w:p>
      <w:pPr>
        <w:spacing w:after="120"/>
        <w:jc w:val="both"/>
      </w:pPr>
      <w:r>
        <w:rPr>
          <w:rFonts w:ascii="Arial" w:cs="Arial" w:eastAsia="Arial" w:hAnsi="Arial"/>
          <w:sz w:val="24"/>
          <w:szCs w:val="24"/>
        </w:rPr>
        <w:t xml:space="preserve">248. Основными проблемами, препятствующими продвижению эффективной государственной политики социальной защиты населения и борьбе с бедностью, являются: (i) отсутствие системы стандартов предоставления социальных услуг семьям и детям, находящимся в трудной жизненной ситуации; (ii) отсутствие реальных инструментов повышения адресности системы социальной защиты; (iii) неэффективность распределения средств для предоставления услуг детям, находящимся в интернатных учреждениях, что приводит к необходимости деинституционализации интернатных учреждений; (iv) низкий уровень охвата лиц с ограниченными возможностями (ЛОВЗ) мерами социальной защиты, а также отсутствие развитой системы интеграции ЛОВЗ в общественную жизнь; (v) отставание размеров пенсий и социальных пособий от уровня прожиточного минимума; (vi) недостаточный уровень профилактики и социальной реабилитации бездомных.</w:t>
      </w:r>
    </w:p>
    <w:p>
      <w:pPr>
        <w:spacing w:after="120"/>
        <w:jc w:val="both"/>
      </w:pPr>
      <w:r>
        <w:rPr>
          <w:rFonts w:ascii="Arial" w:cs="Arial" w:eastAsia="Arial" w:hAnsi="Arial"/>
          <w:sz w:val="24"/>
          <w:szCs w:val="24"/>
        </w:rPr>
        <w:t xml:space="preserve">249. Для улучшения качества системы социальной защиты Правительство намерено осуществить ряд мер, включая разработку минимальных социальных стандартов и методики расчета стоимости социальных услуг.</w:t>
      </w:r>
    </w:p>
    <w:p>
      <w:pPr>
        <w:spacing w:after="120"/>
        <w:jc w:val="both"/>
      </w:pPr>
      <w:r>
        <w:rPr>
          <w:rFonts w:ascii="Arial" w:cs="Arial" w:eastAsia="Arial" w:hAnsi="Arial"/>
          <w:sz w:val="24"/>
          <w:szCs w:val="24"/>
        </w:rPr>
        <w:t xml:space="preserve">250. Для реформирования системы адресности Правительство намерено разработать и внедрить систему социальной работы на местном уровне, исходя из потребностей семей, находящихся в трудной жизненной ситуации.</w:t>
      </w:r>
    </w:p>
    <w:p>
      <w:pPr>
        <w:spacing w:after="120"/>
        <w:jc w:val="both"/>
      </w:pPr>
      <w:r>
        <w:rPr>
          <w:rFonts w:ascii="Arial" w:cs="Arial" w:eastAsia="Arial" w:hAnsi="Arial"/>
          <w:sz w:val="24"/>
          <w:szCs w:val="24"/>
        </w:rPr>
        <w:t xml:space="preserve">251.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 Так, к 2014 году на базе существующих учреждений социальной сферы планируется создание по одному центру реабилитации беспризорных детей в каждой области (всего 9).</w:t>
      </w:r>
    </w:p>
    <w:p>
      <w:pPr>
        <w:spacing w:after="120"/>
        <w:jc w:val="both"/>
      </w:pPr>
      <w:r>
        <w:rPr>
          <w:rFonts w:ascii="Arial" w:cs="Arial" w:eastAsia="Arial" w:hAnsi="Arial"/>
          <w:sz w:val="24"/>
          <w:szCs w:val="24"/>
        </w:rPr>
        <w:t xml:space="preserve">252. Для улучшения качества социальных услуг для ЛОВЗ Правительство будет внедрять новые формы и методы работы в стационарных социальных учреждениях, современные технологии изготовления технических средств реабилитации, а также новую систему определения инвалидности, при этом улучшая доступ к информационным и образовательным программам.</w:t>
      </w:r>
    </w:p>
    <w:p>
      <w:pPr>
        <w:spacing w:after="120"/>
        <w:jc w:val="both"/>
      </w:pPr>
      <w:r>
        <w:rPr>
          <w:rFonts w:ascii="Arial" w:cs="Arial" w:eastAsia="Arial" w:hAnsi="Arial"/>
          <w:sz w:val="24"/>
          <w:szCs w:val="24"/>
        </w:rPr>
        <w:t xml:space="preserve">253. Также будут созданы центры дневного пребывания для пожилых граждан, исходя из потребностей пожилых граждан, в городах Бишкек и Ош. Планируется разработка и внедрение новых форм и методов работы в стационарных социальных учреждениях для пожилых граждан.</w:t>
      </w:r>
    </w:p>
    <w:p>
      <w:pPr>
        <w:spacing w:after="120"/>
        <w:jc w:val="both"/>
      </w:pPr>
      <w:r>
        <w:rPr>
          <w:rFonts w:ascii="Arial" w:cs="Arial" w:eastAsia="Arial" w:hAnsi="Arial"/>
          <w:sz w:val="24"/>
          <w:szCs w:val="24"/>
        </w:rPr>
        <w:t xml:space="preserve">254. Правительство будет проводить поэтапное увеличение размеров государственных пособий и к 2014 году их уровень достигнет 100% от базовой части пенсии.</w:t>
      </w:r>
    </w:p>
    <w:p>
      <w:pPr>
        <w:spacing w:after="120"/>
        <w:jc w:val="both"/>
      </w:pPr>
      <w:r>
        <w:rPr>
          <w:rFonts w:ascii="Arial" w:cs="Arial" w:eastAsia="Arial" w:hAnsi="Arial"/>
          <w:sz w:val="24"/>
          <w:szCs w:val="24"/>
        </w:rPr>
        <w:t xml:space="preserve">255. Основной задачей Правительства по обеспечению социальной защитой групп риска будет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Пенсионная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Система обязательного пенсионного социального страхования является одним из важных компонентов в предотвращении бедности и уменьшении нуждаемости людей, утративших доход по причине старости, утрате трудоспособности или потере кормильца. Впервые по итогам октябрьского повышения пенсий в 2011 году средний размер пенсии приблизился к прожиточному минимуму (99%).</w:t>
      </w:r>
    </w:p>
    <w:p>
      <w:pPr>
        <w:spacing w:after="120"/>
        <w:jc w:val="both"/>
      </w:pPr>
      <w:r>
        <w:rPr>
          <w:rFonts w:ascii="Arial" w:cs="Arial" w:eastAsia="Arial" w:hAnsi="Arial"/>
          <w:sz w:val="24"/>
          <w:szCs w:val="24"/>
        </w:rPr>
        <w:t xml:space="preserve">257. Бюджет Социального фонда Кыргызской Республики формируется за счет страховых взносов и поступлений из республиканского бюджета. Размер пенсионных выплат напрямую зависит от размера внесенных страховых взносов. Из средств республиканского бюджета осуществляется поэтапное (до 2014 года) финансирование базовой части пенсии, а также надбавок к пенсиям, пенсий военнослужащих, компенсационных выплат за электроэнергию. На протяжении последних девяти лет бюджет Социального фонда Кыргызской Республики был профицитным. С 2010 года введен обязательный накопительный элемент.</w:t>
      </w:r>
    </w:p>
    <w:p>
      <w:pPr>
        <w:spacing w:after="120"/>
        <w:jc w:val="both"/>
      </w:pPr>
      <w:r>
        <w:rPr>
          <w:rFonts w:ascii="Arial" w:cs="Arial" w:eastAsia="Arial" w:hAnsi="Arial"/>
          <w:sz w:val="24"/>
          <w:szCs w:val="24"/>
        </w:rPr>
        <w:t xml:space="preserve">258. Несмотря на достигнутые результаты, имеется ряд нерешенных проблем: (i) 70% пенсионеров получают пенсии ниже прожиточного минимума пенсионера; (ii) действующая пенсионная формула требует пересмотра с целью усиления страхового принципа назначения пенсии; (iii) актуарная несбалансированность доходных источников и долгосрочных обязательств пенсионной системы в долгосрочной перспективе; (iv) отношение работающих и реально уплачивающих граждан к пенсионерам с каждым годом сокращается (1:1,4); (v) проблема низкого охвата социальным страхованием мигрантов.</w:t>
      </w:r>
    </w:p>
    <w:p>
      <w:pPr>
        <w:spacing w:after="120"/>
        <w:jc w:val="both"/>
      </w:pPr>
      <w:r>
        <w:rPr>
          <w:rFonts w:ascii="Arial" w:cs="Arial" w:eastAsia="Arial" w:hAnsi="Arial"/>
          <w:sz w:val="24"/>
          <w:szCs w:val="24"/>
        </w:rPr>
        <w:t xml:space="preserve">259. Учитывая эти проблемы, Правительство направит усилия на решение следующих задач: (i) обеспечение финансовой устойчивости пенсионной системы; (ii) повышение пенсий по государственному социальному страхованию; (iii)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260. Основными мерами политики, которые намечены для повышения финансовой устойчивости пенсионной системы, будут: (i) расширение базы страховых взносов; (ii) улучшение управления активами; (iii) ликвидация Фонда оздоровления трудящихся; (iv) пересмотр ставки тарифа страховых взносов для крестьянских и фермерских хозяйств и индивидуальных предпринимателей, работающих на базарах; (v) привлечение к сбору страховых взносов органов местного самоуправления и администраций базаров; (vi) вовлечение в систему государственного социального страхования трудовых мигрантов.</w:t>
      </w:r>
    </w:p>
    <w:p>
      <w:pPr>
        <w:spacing w:after="120"/>
        <w:jc w:val="both"/>
      </w:pPr>
      <w:r>
        <w:rPr>
          <w:rFonts w:ascii="Arial" w:cs="Arial" w:eastAsia="Arial" w:hAnsi="Arial"/>
          <w:sz w:val="24"/>
          <w:szCs w:val="24"/>
        </w:rPr>
        <w:t xml:space="preserve">261. Для поддержания эффективности пенсионной системы планируется: (i) ежегодные повышения пенсий на уровень не ниже инфляции; (ii) установление норм и стандартов пенсионного обеспечения для преодоления бедности среди пенсионеров путем проведения политики назначения базовой части пенсии инвалидам и пенсионерам по потере кормильца, независимо от стажа; (iii) пересмотр и создание адекватной пенсионной формулы; (iv) сокращение льгот при назначении пенсии; (v) совершенствование механизма индексации пенсионных вкладов на личных счетах граждан для защиты их от инфляции.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Развитие системы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В системе образования в последние годы проводятся комплексные реформы, затрагивающие как все его уровни, так и важнейшие аспекты развития: финансирование, управление, систему мониторинга, необходимую для принятия решений и изменение содержания образования.</w:t>
      </w:r>
    </w:p>
    <w:p>
      <w:pPr>
        <w:spacing w:after="120"/>
        <w:jc w:val="both"/>
      </w:pPr>
      <w:r>
        <w:rPr>
          <w:rFonts w:ascii="Arial" w:cs="Arial" w:eastAsia="Arial" w:hAnsi="Arial"/>
          <w:sz w:val="24"/>
          <w:szCs w:val="24"/>
        </w:rPr>
        <w:t xml:space="preserve">263. Приоритетное внимание уровню школьного образования было обусловлено ответственностью государства (ст.45 Конституции Кыргызской Республики), а также необходимостью приостановить нарастание бедности, поскольку обеспечение доступности качественного образования позволяет повысить возможности каждого выпускника на рынке труда.</w:t>
      </w:r>
    </w:p>
    <w:p>
      <w:pPr>
        <w:spacing w:after="120"/>
        <w:jc w:val="both"/>
      </w:pPr>
      <w:r>
        <w:rPr>
          <w:rFonts w:ascii="Arial" w:cs="Arial" w:eastAsia="Arial" w:hAnsi="Arial"/>
          <w:sz w:val="24"/>
          <w:szCs w:val="24"/>
        </w:rPr>
        <w:t xml:space="preserve">264. Реформы в секторе дошкольного образования, направленные на повышение психолого-педагогической готовности детей к школе и успешность последующего обучения, а также на всех уровнях профессионального образования, должны привести к созданию преемственной, гибкой и открытой системы образования, ориентированной на результат.</w:t>
      </w:r>
    </w:p>
    <w:p>
      <w:pPr>
        <w:spacing w:after="120"/>
        <w:jc w:val="both"/>
      </w:pPr>
      <w:r>
        <w:rPr>
          <w:rFonts w:ascii="Arial" w:cs="Arial" w:eastAsia="Arial" w:hAnsi="Arial"/>
          <w:sz w:val="24"/>
          <w:szCs w:val="24"/>
        </w:rPr>
        <w:t xml:space="preserve">265. Главной стратегической целью реформы системы образования в среднесрочной перспективе станет формирование базовых основ для качественного образования, ориентированного на результат.</w:t>
      </w:r>
    </w:p>
    <w:p>
      <w:pPr>
        <w:spacing w:after="120"/>
        <w:jc w:val="both"/>
      </w:pPr>
      <w:r>
        <w:rPr>
          <w:rFonts w:ascii="Arial" w:cs="Arial" w:eastAsia="Arial" w:hAnsi="Arial"/>
          <w:sz w:val="24"/>
          <w:szCs w:val="24"/>
        </w:rPr>
        <w:t xml:space="preserve">266. Для достижения этой цели меры политики Правительства будут сосредоточены на следующих направлениях: (i) совершенствование управления системой образования; (ii) повышение эффективности финансирования; (iii) изменение содержания образования и оптимизация подготовки педагогических кадров.</w:t>
      </w:r>
    </w:p>
    <w:p>
      <w:pPr>
        <w:spacing w:after="120"/>
        <w:jc w:val="both"/>
      </w:pPr>
      <w:r>
        <w:rPr>
          <w:rFonts w:ascii="Arial" w:cs="Arial" w:eastAsia="Arial" w:hAnsi="Arial"/>
          <w:sz w:val="24"/>
          <w:szCs w:val="24"/>
        </w:rPr>
        <w:t xml:space="preserve">267. В рамках совершенствования управления системой образования (i) Правительство планирует разработать нормативные правовые акты, направленные на повышение качества системы принятия решений и стратегического планирования в секторе образования, на основе мониторинга и оценки результатов для всех уровней образования.</w:t>
      </w:r>
    </w:p>
    <w:p>
      <w:pPr>
        <w:spacing w:after="120"/>
        <w:jc w:val="both"/>
      </w:pPr>
      <w:r>
        <w:rPr>
          <w:rFonts w:ascii="Arial" w:cs="Arial" w:eastAsia="Arial" w:hAnsi="Arial"/>
          <w:sz w:val="24"/>
          <w:szCs w:val="24"/>
        </w:rPr>
        <w:t xml:space="preserve">268. Для повышения эффективности дошкольного образования будут: (i) разработаны подзаконные акты к Закону Кыргызской Республики "О дошкольном образовании" и доработан стандарт "Дошкольное образование и уход за детьми" для повышения социальной компетентности детей; (ii) особое внимание будет уделяться предшкольной подготовке и преемственности в образовании детей дошкольного и школьного уровня; (iii) для обеспечения доступности дошкольного образования, в том числе детям из бедных семей, будет запущен механизм государственно-частного партнерства в дошкольном образовании и открыты альтернативные детские дошкольные организации.</w:t>
      </w:r>
    </w:p>
    <w:p>
      <w:pPr>
        <w:spacing w:after="120"/>
        <w:jc w:val="both"/>
      </w:pPr>
      <w:r>
        <w:rPr>
          <w:rFonts w:ascii="Arial" w:cs="Arial" w:eastAsia="Arial" w:hAnsi="Arial"/>
          <w:sz w:val="24"/>
          <w:szCs w:val="24"/>
        </w:rPr>
        <w:t xml:space="preserve">269. На уровне школьного образования будет проведено поэтапное сокращение школьной учебной нагрузки с 1200 часов до средневзвешенного мирового уровня. Также, разрабатывается система нормативных документов - стандартов нового типа (куррикулумы). В 2009 году был принят Рамочный Национальный стандарт (куррикулум) общего школьного образования, на его основе разрабатываются предметные куррикулумы для 5-9 и 10-11 классов, а в перспективе - школьные куррикулумы, которые приведут к более широкой автономии школы в выборе приоритетов развития.</w:t>
      </w:r>
    </w:p>
    <w:p>
      <w:pPr>
        <w:spacing w:after="120"/>
        <w:jc w:val="both"/>
      </w:pPr>
      <w:r>
        <w:rPr>
          <w:rFonts w:ascii="Arial" w:cs="Arial" w:eastAsia="Arial" w:hAnsi="Arial"/>
          <w:sz w:val="24"/>
          <w:szCs w:val="24"/>
        </w:rPr>
        <w:t xml:space="preserve">270. В рамках развития начального профессионального образования планируется: (i) создание квалификационных рамок по отдельным направлениям подготовки (система квалификаций), что обеспечит признаваемость документов об образовании работодателями как Кыргызстана, так и ближнего и дальнего зарубежья; (ii) сокращение сроков обучения за счет развития широкого спектра краткосрочных курсов в соответствии с потребностями населения и запросами работодателей. Наличие разнообразных курсов позволит получить востребованное образование детям из бедных семей, а также обеспечить быструю переквалификацию взрослых, не имеющих работу. В среднем профессиональном образовании будут внедряться разработанные в 2010 году стандарты нового поколения. В высшем профессиональном образовании в связи с переходом на двухуровневую систему образования (бакалавр-магистр) будут: (i) усиливаться внутренние и внешние механизмы контроля качества, что должно обеспечить признание дипломов вузов Кыргызской Республики за рубежом; (ii) будет развиваться система повышения квалификации для работников высшего профессионального образования, включая разработку механизмов привлечения работодателей в данный процесс.</w:t>
      </w:r>
    </w:p>
    <w:p>
      <w:pPr>
        <w:spacing w:after="120"/>
        <w:jc w:val="both"/>
      </w:pPr>
      <w:r>
        <w:rPr>
          <w:rFonts w:ascii="Arial" w:cs="Arial" w:eastAsia="Arial" w:hAnsi="Arial"/>
          <w:sz w:val="24"/>
          <w:szCs w:val="24"/>
        </w:rPr>
        <w:t xml:space="preserve">271. Для эффективной работы системы повышения квалификации будет введен ваучерный механизм ее обеспечения. Этот шаг приведет к росту числа провайдеров, предоставляющих услуги для повышения квалификации, разнообразию предлагаемых программ и, в результате, обеспечения качества обучения школьников и студентов.</w:t>
      </w:r>
    </w:p>
    <w:p>
      <w:pPr>
        <w:spacing w:after="120"/>
        <w:jc w:val="both"/>
      </w:pPr>
      <w:r>
        <w:rPr>
          <w:rFonts w:ascii="Arial" w:cs="Arial" w:eastAsia="Arial" w:hAnsi="Arial"/>
          <w:sz w:val="24"/>
          <w:szCs w:val="24"/>
        </w:rPr>
        <w:t xml:space="preserve">272. Для повышения эффективности финансирования Правительство намерено в 2012-2014 годах задействовать следующие механизмы: (i) переход к модели финансирования сектора образования на основе широкосекторального подхода (SWAp); (ii) переход на подушевое финансирование на уровне школьного образования; (iii) переход части вузов на самофинансирование.</w:t>
      </w:r>
    </w:p>
    <w:p>
      <w:pPr>
        <w:spacing w:after="120"/>
        <w:jc w:val="both"/>
      </w:pPr>
      <w:r>
        <w:rPr>
          <w:rFonts w:ascii="Arial" w:cs="Arial" w:eastAsia="Arial" w:hAnsi="Arial"/>
          <w:sz w:val="24"/>
          <w:szCs w:val="24"/>
        </w:rPr>
        <w:t xml:space="preserve">273. Переход к широкосекторальному подходу с 2013 года позволит консолидировать донорские средства и направить их в систему образования непосредственно через бюджет, что исключит дублирование в направлении средств и позволит использовать внешнюю помощь для решения важнейших проблем системы образования, в первую очередь, школьного и начального профессионального образования.</w:t>
      </w:r>
    </w:p>
    <w:p>
      <w:pPr>
        <w:spacing w:after="120"/>
        <w:jc w:val="both"/>
      </w:pPr>
      <w:r>
        <w:rPr>
          <w:rFonts w:ascii="Arial" w:cs="Arial" w:eastAsia="Arial" w:hAnsi="Arial"/>
          <w:sz w:val="24"/>
          <w:szCs w:val="24"/>
        </w:rPr>
        <w:t xml:space="preserve">274. Усиление ответственности перед получателями образовательных услуг требует перевода общеобразовательных организаций на принципы финансово-административной самостоятельности. До 2015 года будет последовательно осуществлен перевод всех общеобразовательных организаций на подушевое финансирование.</w:t>
      </w:r>
    </w:p>
    <w:p>
      <w:pPr>
        <w:spacing w:after="120"/>
        <w:jc w:val="both"/>
      </w:pPr>
      <w:r>
        <w:rPr>
          <w:rFonts w:ascii="Arial" w:cs="Arial" w:eastAsia="Arial" w:hAnsi="Arial"/>
          <w:sz w:val="24"/>
          <w:szCs w:val="24"/>
        </w:rPr>
        <w:t xml:space="preserve">275. На уровне начального профессионального образования произойдет оптимизация численности учебных заведений и бюджетных средств на подготовку квалифицированных кадров, востребованных рынком труда. Этот процесс также приведет к усилению адресности социальной помощи детям из бедных семей.</w:t>
      </w:r>
    </w:p>
    <w:p>
      <w:pPr>
        <w:spacing w:after="120"/>
        <w:jc w:val="both"/>
      </w:pPr>
      <w:r>
        <w:rPr>
          <w:rFonts w:ascii="Arial" w:cs="Arial" w:eastAsia="Arial" w:hAnsi="Arial"/>
          <w:sz w:val="24"/>
          <w:szCs w:val="24"/>
        </w:rPr>
        <w:t xml:space="preserve">276.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w:t>
      </w:r>
    </w:p>
    <w:p>
      <w:pPr>
        <w:spacing w:after="120"/>
        <w:jc w:val="both"/>
      </w:pPr>
      <w:r>
        <w:rPr>
          <w:rFonts w:ascii="Arial" w:cs="Arial" w:eastAsia="Arial" w:hAnsi="Arial"/>
          <w:sz w:val="24"/>
          <w:szCs w:val="24"/>
        </w:rPr>
        <w:t xml:space="preserve">277. Для формирования нового содержания образования (iii) Правительством будут разработаны или обновлены стандарты на всех уровнях, от дошкольного до высшего профессионального образования. Стандарты нового поколения обеспечат переход к обучению, основанному на компетентностях, что сформирует систему образования, ориентированную на результат.</w:t>
      </w:r>
    </w:p>
    <w:p>
      <w:pPr>
        <w:spacing w:after="120"/>
        <w:jc w:val="both"/>
      </w:pPr>
      <w:r>
        <w:rPr>
          <w:rFonts w:ascii="Arial" w:cs="Arial" w:eastAsia="Arial" w:hAnsi="Arial"/>
          <w:sz w:val="24"/>
          <w:szCs w:val="24"/>
        </w:rPr>
        <w:t xml:space="preserve">278. В Стандарте "Дошкольное образование и уход за детьми" усилен акцент на социальное и эмоциональное развитие ребенка, формирование системы ценностей, обеспечивающих социализацию ребенка.</w:t>
      </w:r>
    </w:p>
    <w:p>
      <w:pPr>
        <w:spacing w:after="120"/>
        <w:jc w:val="both"/>
      </w:pPr>
      <w:r>
        <w:rPr>
          <w:rFonts w:ascii="Arial" w:cs="Arial" w:eastAsia="Arial" w:hAnsi="Arial"/>
          <w:sz w:val="24"/>
          <w:szCs w:val="24"/>
        </w:rPr>
        <w:t xml:space="preserve">279. Дальнейшее внедрение стандартов нового типа (курриклумов) в школьном образовании позволит повысить мотивацию к обучению учащихся и достичь более качественного образования за счет сбалансированности учебного плана.</w:t>
      </w:r>
    </w:p>
    <w:p>
      <w:pPr>
        <w:spacing w:after="120"/>
        <w:jc w:val="both"/>
      </w:pPr>
      <w:r>
        <w:rPr>
          <w:rFonts w:ascii="Arial" w:cs="Arial" w:eastAsia="Arial" w:hAnsi="Arial"/>
          <w:sz w:val="24"/>
          <w:szCs w:val="24"/>
        </w:rPr>
        <w:t xml:space="preserve">280. Для повышения социально-коммуникативной компетентности учащихся особое внимание будет уделено изучению кыргызского (государственного), русского (официального) и английского языков.</w:t>
      </w:r>
    </w:p>
    <w:p>
      <w:pPr>
        <w:spacing w:after="120"/>
        <w:jc w:val="both"/>
      </w:pPr>
      <w:r>
        <w:rPr>
          <w:rFonts w:ascii="Arial" w:cs="Arial" w:eastAsia="Arial" w:hAnsi="Arial"/>
          <w:sz w:val="24"/>
          <w:szCs w:val="24"/>
        </w:rPr>
        <w:t xml:space="preserve">281. Важным элементом постконфликтного урегулирования станет внедрение в школах многоязычного и поликультурного образования, направленного на повышение уровня толерантности, взаимного понимания и гражданского согласия.</w:t>
      </w:r>
    </w:p>
    <w:p>
      <w:pPr>
        <w:spacing w:after="120"/>
        <w:jc w:val="both"/>
      </w:pPr>
      <w:r>
        <w:rPr>
          <w:rFonts w:ascii="Arial" w:cs="Arial" w:eastAsia="Arial" w:hAnsi="Arial"/>
          <w:sz w:val="24"/>
          <w:szCs w:val="24"/>
        </w:rPr>
        <w:t xml:space="preserve">282. Для обеспечения качества образования, ориентированного на результат, будут внедряться новые методы диагностики и контроля результатов образовательного процесса на уровне ученика, класса и школы.</w:t>
      </w:r>
    </w:p>
    <w:p>
      <w:pPr>
        <w:spacing w:after="120"/>
        <w:jc w:val="both"/>
      </w:pPr>
      <w:r>
        <w:rPr>
          <w:rFonts w:ascii="Arial" w:cs="Arial" w:eastAsia="Arial" w:hAnsi="Arial"/>
          <w:sz w:val="24"/>
          <w:szCs w:val="24"/>
        </w:rPr>
        <w:t xml:space="preserve">283. Для обеспечения школ педагогами, имеющими высокий уровень знаний по предмету, владеющими современными технологиями обучения и высоким уровнем мотивации к работе в образовательных организациях, в 2012 году начнут внедряться новые стандарты по педагогическим специальностям на уровне бакалавриата; произойдет обновление программ повышения квалификации учителей.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Развитие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В результате проводимых реформ здравоохранения была внедрена система обязательного медицинского страхования и института семейной медицины, реструктуризованы организации здравоохранения, внедрены новые принципы механизма формирования бюджета. Достигнуты положительные результаты в доступе к медико-санитарной помощи.</w:t>
      </w:r>
    </w:p>
    <w:p>
      <w:pPr>
        <w:spacing w:after="120"/>
        <w:jc w:val="both"/>
      </w:pPr>
      <w:r>
        <w:rPr>
          <w:rFonts w:ascii="Arial" w:cs="Arial" w:eastAsia="Arial" w:hAnsi="Arial"/>
          <w:sz w:val="24"/>
          <w:szCs w:val="24"/>
        </w:rPr>
        <w:t xml:space="preserve">285. События в апреле-июне 2010 года стали большим испытанием для системы здравоохранения. Кризис не оказал значительного влияния на здоровье населения в пострадавших регионах, и организации здравоохранения были в состоянии справиться с потоком пациентов во время конфликта. Однако, кризис ясно показал слабость и ограниченность системы здравоохранения, изношенность инфраструктуры и отсутствие соответствующего оборудования и запасов.</w:t>
      </w:r>
    </w:p>
    <w:p>
      <w:pPr>
        <w:spacing w:after="120"/>
        <w:jc w:val="both"/>
      </w:pPr>
      <w:r>
        <w:rPr>
          <w:rFonts w:ascii="Arial" w:cs="Arial" w:eastAsia="Arial" w:hAnsi="Arial"/>
          <w:sz w:val="24"/>
          <w:szCs w:val="24"/>
        </w:rPr>
        <w:t xml:space="preserve">286. Несмотря на имеющиеся достижения, существует ряд нерешенных проблем: (i) финансовый разрыв при реализации Программы государственных гарантий (ПГГ) по обеспечению граждан медико-санитарной помощью из-за увеличения льготных категорий населения, получающих доступ к медицинским услугам в рамках ПГГ; (ii) снижение доступности социально-уязвимых категорий населения к лекарственным средствам; (iii) недостаточный прогресс по достижению ЦРТ-4, ЦРТ-5, ЦРТ-6; (iv) недостаточный уровень материально-технического оснащения организаций здравоохранения; обеспеченность санитарным автотранспортом на уровне 60% от потребности; (v) недостаток и неравномерное распределение кадрового потенциала, снижение качества подготовки кадров; (vi) недостаточное развитие службы общественного здравоохранения; (vii) несовершенное законодательство по внедрению механизмов государственно-частного партнерства в области здравоохранения.</w:t>
      </w:r>
    </w:p>
    <w:p>
      <w:pPr>
        <w:spacing w:after="120"/>
        <w:jc w:val="both"/>
      </w:pPr>
      <w:r>
        <w:rPr>
          <w:rFonts w:ascii="Arial" w:cs="Arial" w:eastAsia="Arial" w:hAnsi="Arial"/>
          <w:sz w:val="24"/>
          <w:szCs w:val="24"/>
        </w:rPr>
        <w:t xml:space="preserve">287. Исходя из этих проблем, основными направлениями политики развития системы здравоохранения будут: (i) развитие устойчивой системы финансирования, направленной на увеличение финансовой защиты населения и сокращение уровня бедности; (ii) повышение доступности населения к льготному лекарственному обеспечению по ПГГ и Дополнительной программе обязательного медицинского страхования; лекарственное обеспечение застрахованных граждан на амбулаторном уровне (ДП ОМС); (iii) улучшение качества медико-санитарной помощи с ориентацией здравоохранения на достижение ЦРТ; (iv) сохранение и оптимизация существующей системы предоставления медико-санитарной помощи; (v) улучшение обеспеченности медицинскими кадрами и повышение качества медицинского образования; (vi) усиление роли общественного здравоохранения; (vii) развитие рыночных механизмов в системе здравоохранения.</w:t>
      </w:r>
    </w:p>
    <w:p>
      <w:pPr>
        <w:spacing w:after="120"/>
        <w:jc w:val="both"/>
      </w:pPr>
      <w:r>
        <w:rPr>
          <w:rFonts w:ascii="Arial" w:cs="Arial" w:eastAsia="Arial" w:hAnsi="Arial"/>
          <w:sz w:val="24"/>
          <w:szCs w:val="24"/>
        </w:rPr>
        <w:t xml:space="preserve">288. Меры политики по развитию устойчивой системы финансирования включают: (i) создание системы базового государственного медицинского страхования; (ii) поэтапный перевод организаций здравоохранения, предоставляющих специализированную медицинскую помощь (противотуберкулезную, психиатрическую, онкологическую, гематологическую), в систему Единого Плательщика; (iii) пересмотр перечня льготных категорий граждан при получении медицинских услуг; (iv) внесение изменений в Положение о порядке внесения, учета и использования средств сооплаты в организациях здравоохранения, реализующих ПГГ; (v) повышение информированности населения о правах при получении медицинских, профилактических и фармацевтических услуг в рамках ПГГ.</w:t>
      </w:r>
    </w:p>
    <w:p>
      <w:pPr>
        <w:spacing w:after="120"/>
        <w:jc w:val="both"/>
      </w:pPr>
      <w:r>
        <w:rPr>
          <w:rFonts w:ascii="Arial" w:cs="Arial" w:eastAsia="Arial" w:hAnsi="Arial"/>
          <w:sz w:val="24"/>
          <w:szCs w:val="24"/>
        </w:rPr>
        <w:t xml:space="preserve">289. Для повышения доступности населения к льготному лекарственному обеспечению намечено: (i) пересмотр подушевого норматива из средств ОМС для определения объема финансирования, направляемого на реализацию ДП ОМС; (ii) проведение периодического пересмотра базисных цен для возмещения льготного лекарственного обеспечения по ПГГ и ДП ОМС; (iii) повышение информированности населения о льготных программах лекарственного обеспечения.</w:t>
      </w:r>
    </w:p>
    <w:p>
      <w:pPr>
        <w:spacing w:after="120"/>
        <w:jc w:val="both"/>
      </w:pPr>
      <w:r>
        <w:rPr>
          <w:rFonts w:ascii="Arial" w:cs="Arial" w:eastAsia="Arial" w:hAnsi="Arial"/>
          <w:sz w:val="24"/>
          <w:szCs w:val="24"/>
        </w:rPr>
        <w:t xml:space="preserve">290. Для улучшения качества медико-санитарной помощи с ориентацией здравоохранения на достижение ЦРТ инициированы следующие меры: (i) разработка и внедрение стандартов медицинских услуг на основе доказательной медицины в практическое здравоохранение; (ii) реализация программ по улучшению статуса питания женщин и детей; (iii) обеспечение полного охвата больных туберкулезом программой "ДОТС Плюс", включая учреждения пенитенциарной системы; (iv) проведение профилактических мероприятий, обучение медицинских работников, обеспечение групп повышенного риска экспресс-тестами, антиретровирусными препаратами; (v) дальнейшее расширение программ по снижению вреда среди наркопотребителей.</w:t>
      </w:r>
    </w:p>
    <w:p>
      <w:pPr>
        <w:spacing w:after="120"/>
        <w:jc w:val="both"/>
      </w:pPr>
      <w:r>
        <w:rPr>
          <w:rFonts w:ascii="Arial" w:cs="Arial" w:eastAsia="Arial" w:hAnsi="Arial"/>
          <w:sz w:val="24"/>
          <w:szCs w:val="24"/>
        </w:rPr>
        <w:t xml:space="preserve">291. Для улучшения материально-технической базы организаций здравоохранения будут осуществлены строительные работы в Национальном центре охраны материнства и детства, а также капитальный ремонт основного здания. Будет проведен капитальный ремонт Ошской межобластной объединенной клинической больницы и Джалал-Абадской областной объединенной больницы. Кроме того, будет осуществлено строительство ЦСМ в гор. Ош. Будут также закуплены оборудование и санитарный автотранспорт.</w:t>
      </w:r>
    </w:p>
    <w:p>
      <w:pPr>
        <w:spacing w:after="120"/>
        <w:jc w:val="both"/>
      </w:pPr>
      <w:r>
        <w:rPr>
          <w:rFonts w:ascii="Arial" w:cs="Arial" w:eastAsia="Arial" w:hAnsi="Arial"/>
          <w:sz w:val="24"/>
          <w:szCs w:val="24"/>
        </w:rPr>
        <w:t xml:space="preserve">292. Правительство считает решение кадрового вопроса и повышение качества медицинского образования одним из основных приоритетов политики. Для этого планируется ряд мер: (i) внедрить Государственный образовательный стандарт (ГОСТ) по специальности "Лечебное дело" и учебные программы с ориентацией на подготовку врача общей практики (семейного врача) во все высшие медицинские образовательные организации и пересмотреть ГОСТов по другим специальностям; (ii) пересмотреть нормативные правовые акты, регулирующие Программу "Депозит врача"; (iii) разработать Концепцию развития последипломного медицинского и фармацевтического образования; (iv) предусмотреть порядок обязательного государственного распределения специалистов, получивших подготовку за счет средств государственного бюджета, и ответственность за отказ от обязательной двухлетней отработки.</w:t>
      </w:r>
    </w:p>
    <w:p>
      <w:pPr>
        <w:spacing w:after="120"/>
        <w:jc w:val="both"/>
      </w:pPr>
      <w:r>
        <w:rPr>
          <w:rFonts w:ascii="Arial" w:cs="Arial" w:eastAsia="Arial" w:hAnsi="Arial"/>
          <w:sz w:val="24"/>
          <w:szCs w:val="24"/>
        </w:rPr>
        <w:t xml:space="preserve">293. По усилению роли общественного здравоохранения предусмотрены следующие меры: (i) развивать новые подходы работы с населением в рамках модели "Действия сообществ по вопросам здоровья" и расширять деятельность сельских комитетов здоровья по актуальным вопросам охраны и укрепления здоровья; (ii) пересмотреть нормативную правовую базу для обеспечения эффективной деятельности службы; (iii) провести структурные преобразования в службе общественного здравоохранения с передачей контрольно-надзорных функций во вновь созданную Государственную инспекцию по санитарной, ветеринарной и фитосанитарной безопасности; (iv) оснастить и аккредитовать базовые лаборатории.</w:t>
      </w:r>
    </w:p>
    <w:p>
      <w:pPr>
        <w:spacing w:after="120"/>
        <w:jc w:val="both"/>
      </w:pPr>
      <w:r>
        <w:rPr>
          <w:rFonts w:ascii="Arial" w:cs="Arial" w:eastAsia="Arial" w:hAnsi="Arial"/>
          <w:sz w:val="24"/>
          <w:szCs w:val="24"/>
        </w:rPr>
        <w:t xml:space="preserve">294. Для развития рыночных механизмов в системе здравоохранения будут разработаны и внедрены механизмы по государственно-частному партнерству, а также осуществлен перевод некоторых государственных организаций здравоохранения на самофинансирование.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Рынок труда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295. Количественный потенциал трудовых ресурсов Кыргызстана оценивается как достаточно высокий. На протяжении предыдущих лет на рынке труда наблюдается выраженная ситуация с превышением спроса над предложением, что приводит к динамичному росту безработицы.</w:t>
      </w:r>
    </w:p>
    <w:p>
      <w:pPr>
        <w:spacing w:after="120"/>
        <w:jc w:val="both"/>
      </w:pPr>
      <w:r>
        <w:rPr>
          <w:rFonts w:ascii="Arial" w:cs="Arial" w:eastAsia="Arial" w:hAnsi="Arial"/>
          <w:sz w:val="24"/>
          <w:szCs w:val="24"/>
        </w:rPr>
        <w:t xml:space="preserve">296. Число безработных в последнее время пополняется не только за счет граждан, высвобождаемых с производства по сокращению штатов и ликвидации коммерческих предприятий, но и в связи с проводимой реформой государственного управления.</w:t>
      </w:r>
    </w:p>
    <w:p>
      <w:pPr>
        <w:spacing w:after="120"/>
        <w:jc w:val="both"/>
      </w:pPr>
      <w:r>
        <w:rPr>
          <w:rFonts w:ascii="Arial" w:cs="Arial" w:eastAsia="Arial" w:hAnsi="Arial"/>
          <w:sz w:val="24"/>
          <w:szCs w:val="24"/>
        </w:rPr>
        <w:t xml:space="preserve">297. На 1 января 2012 года в целом по стране предложение рабочей силы превысило спрос в более чем в 32 раза, в отдельных регионах этот показатель в десятки раз выше. Государственный сектор практически не создает рабочие места, реальный потенциал для создания рабочих мест имеет только частный сектор. Уровень общей безработицы, исчисляемый по методологии МОТ, за 2009-2011 годы вырос с 8,4% до 8,6%.</w:t>
      </w:r>
    </w:p>
    <w:p>
      <w:pPr>
        <w:spacing w:after="120"/>
        <w:jc w:val="both"/>
      </w:pPr>
      <w:r>
        <w:rPr>
          <w:rFonts w:ascii="Arial" w:cs="Arial" w:eastAsia="Arial" w:hAnsi="Arial"/>
          <w:sz w:val="24"/>
          <w:szCs w:val="24"/>
        </w:rPr>
        <w:t xml:space="preserve">298. Количество обратившихся в государственные службы занятости колеблется на уровне 160-170 тыс. человек. На начало 2012 года в городских, районных органах службы занятости республики на учете состояло около 95 тыс. граждан, ищущих работу, из них 61 тысяча, - имеющих официальный статус безработного.</w:t>
      </w:r>
    </w:p>
    <w:p>
      <w:pPr>
        <w:spacing w:after="120"/>
        <w:jc w:val="both"/>
      </w:pPr>
      <w:r>
        <w:rPr>
          <w:rFonts w:ascii="Arial" w:cs="Arial" w:eastAsia="Arial" w:hAnsi="Arial"/>
          <w:sz w:val="24"/>
          <w:szCs w:val="24"/>
        </w:rPr>
        <w:t xml:space="preserve">299. Недостаточная развитость информационной инфраструктуры рынка труда, ограниченность возможностей в повышении квалификации, подготовки и переподготовки кадров создает определенные препятствия на рынке труда в достижении баланса между спросом и предложением рабочей силы.</w:t>
      </w:r>
    </w:p>
    <w:p>
      <w:pPr>
        <w:spacing w:after="120"/>
        <w:jc w:val="both"/>
      </w:pPr>
      <w:r>
        <w:rPr>
          <w:rFonts w:ascii="Arial" w:cs="Arial" w:eastAsia="Arial" w:hAnsi="Arial"/>
          <w:sz w:val="24"/>
          <w:szCs w:val="24"/>
        </w:rPr>
        <w:t xml:space="preserve">300. Роль Правительства будет заключаться в обеспечении соответствующей среды, в которой будет развиваться и повышаться производительность частного сектора, а также в принятии мер социальной защиты официально зарегистрированных безработных граждан.</w:t>
      </w:r>
    </w:p>
    <w:p>
      <w:pPr>
        <w:spacing w:after="120"/>
        <w:jc w:val="both"/>
      </w:pPr>
      <w:r>
        <w:rPr>
          <w:rFonts w:ascii="Arial" w:cs="Arial" w:eastAsia="Arial" w:hAnsi="Arial"/>
          <w:sz w:val="24"/>
          <w:szCs w:val="24"/>
        </w:rPr>
        <w:t xml:space="preserve">301. Меры политики по содействию занятости населения будут направлены на: (i) определение спроса и предложения на рынке труда (на основе исследований); (ii) совершенствование профессиональной подготовки и переподготовки безработных граждан; (iii) развитие системы микрокредитования безработных граждан; (iv) развитие информационной инфраструктуры рынка труда и оказание помощи безработным гражданам в поисках работы; (v) расширение социальных проектов по временной занятости; (vi) активные меры по созданию новых рабочих мест, в том числе, в сельской местности; (vii) увеличение доли женщин в составе рабочей силы путем трудоустройства женщин; (viii) развитие социального партнерства в вопросах занятости населения, включая разработку нового Трудового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Культура, религиозные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302. Правительство осознает вклад культуры в социальное развитие. В 2009 году был принят новый Закон Кыргызской Республики "О культуре", и в рамках Национальной программы "Развитие культуры и искусства в Кыргызской Республике до 2010 года" был предпринят ряд инициатив по развитию этого направления общественной жизни.</w:t>
      </w:r>
    </w:p>
    <w:p>
      <w:pPr>
        <w:spacing w:after="120"/>
        <w:jc w:val="both"/>
      </w:pPr>
      <w:r>
        <w:rPr>
          <w:rFonts w:ascii="Arial" w:cs="Arial" w:eastAsia="Arial" w:hAnsi="Arial"/>
          <w:sz w:val="24"/>
          <w:szCs w:val="24"/>
        </w:rPr>
        <w:t xml:space="preserve">303. Тем не менее, существует ряд нерешенных проблем вызванных низкой материальной обеспеченностью и нормативно-правовой базой.</w:t>
      </w:r>
    </w:p>
    <w:p>
      <w:pPr>
        <w:spacing w:after="120"/>
        <w:jc w:val="both"/>
      </w:pPr>
      <w:r>
        <w:rPr>
          <w:rFonts w:ascii="Arial" w:cs="Arial" w:eastAsia="Arial" w:hAnsi="Arial"/>
          <w:sz w:val="24"/>
          <w:szCs w:val="24"/>
        </w:rPr>
        <w:t xml:space="preserve">304. Более того, в нарушение Закона Кыргызской Республики "Об охране и использовании историко-культурного наследия" происходит изменение облика памятников, ненадлежащего использования, что приводит к их порче и утрате ценных качеств и целостности как отдельных памятников, так и исторической среды. Зачастую местные исполнительные органы власти выдают разрешение на строительство памятников в охранных зонах без учета вопросов их сохранности. Данная проблема усугубляется высоким уровнем бедности сельского населения, которое стремится получить краткосрочную выгоду от ненадлежащего использования памятников культуры.</w:t>
      </w:r>
    </w:p>
    <w:p>
      <w:pPr>
        <w:spacing w:after="120"/>
        <w:jc w:val="both"/>
      </w:pPr>
      <w:r>
        <w:rPr>
          <w:rFonts w:ascii="Arial" w:cs="Arial" w:eastAsia="Arial" w:hAnsi="Arial"/>
          <w:sz w:val="24"/>
          <w:szCs w:val="24"/>
        </w:rPr>
        <w:t xml:space="preserve">305. Особую озабоченность вызывает диспропорция в предоставлении услуг между сельской местностью и городом, что усугубляется отсутствием системы подготовки/переподготовки кадров.</w:t>
      </w:r>
    </w:p>
    <w:p>
      <w:pPr>
        <w:spacing w:after="120"/>
        <w:jc w:val="both"/>
      </w:pPr>
      <w:r>
        <w:rPr>
          <w:rFonts w:ascii="Arial" w:cs="Arial" w:eastAsia="Arial" w:hAnsi="Arial"/>
          <w:sz w:val="24"/>
          <w:szCs w:val="24"/>
        </w:rPr>
        <w:t xml:space="preserve">306. Осознавая важность сохранения культурного наследия, первым шагом в этом направлении станет разработка и внедрение единой электронной национальной базы культурных ценностей.</w:t>
      </w:r>
    </w:p>
    <w:p>
      <w:pPr>
        <w:spacing w:after="120"/>
        <w:jc w:val="both"/>
      </w:pPr>
      <w:r>
        <w:rPr>
          <w:rFonts w:ascii="Arial" w:cs="Arial" w:eastAsia="Arial" w:hAnsi="Arial"/>
          <w:sz w:val="24"/>
          <w:szCs w:val="24"/>
        </w:rPr>
        <w:t xml:space="preserve">307. Кроме того, Правительство будет внедрять проектные методы работы по сохранению историко-культурного наследия, что позволит улучшить материально-техническое состояние памятников культуры. Также, для популяризации культурного наследия предполагается разработать сводный Национальный календарь культурно-досуговых мероприятий местного и республиканского значения, наряду с программой привлечения туристов к культурно-досуговым мероприятиям.</w:t>
      </w:r>
    </w:p>
    <w:p>
      <w:pPr>
        <w:spacing w:after="120"/>
        <w:jc w:val="both"/>
      </w:pPr>
      <w:r>
        <w:rPr>
          <w:rFonts w:ascii="Arial" w:cs="Arial" w:eastAsia="Arial" w:hAnsi="Arial"/>
          <w:sz w:val="24"/>
          <w:szCs w:val="24"/>
        </w:rPr>
        <w:t xml:space="preserve">308. В целях развития культуры в сельской местности будут внедрены механизмы, стимулирующие проведение гастролей и театрально-зрелищных мероприятий в регионах.</w:t>
      </w:r>
    </w:p>
    <w:p>
      <w:pPr>
        <w:spacing w:after="120"/>
        <w:jc w:val="both"/>
      </w:pPr>
      <w:r>
        <w:rPr>
          <w:rFonts w:ascii="Arial" w:cs="Arial" w:eastAsia="Arial" w:hAnsi="Arial"/>
          <w:sz w:val="24"/>
          <w:szCs w:val="24"/>
        </w:rPr>
        <w:t xml:space="preserve">309. Правительство также планирует вести деятельность по улучшению системы подготовки кадров, включая формирование заказа на грантовое обучение, с учетом потребностей страны в работниках культуры, а также механизмы целевого обучения/переподготовки специалистов в иностранных учебных заведениях.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8.7.2.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Кыргызская Республика является поликонфессиональной страной, где население придерживается более 30 религиозных направлений и течений. В Законе Кыргызской Республики "О свободе вероисповедания и религиозных организациях в Кыргызской Республике" Правительство защищает свободу вероисповедания всех конфессий. В последние годы проводилась активная работа по сохранению межрелигиозного согласия и толерантности в рамках серии "круглых столов", семинаров, тренингов, с участием государственных органов, НПО, донорских организаций в урегулировании проблем, споров, возникающих в сфере религии.</w:t>
      </w:r>
    </w:p>
    <w:p>
      <w:pPr>
        <w:spacing w:after="120"/>
        <w:jc w:val="both"/>
      </w:pPr>
      <w:r>
        <w:rPr>
          <w:rFonts w:ascii="Arial" w:cs="Arial" w:eastAsia="Arial" w:hAnsi="Arial"/>
          <w:sz w:val="24"/>
          <w:szCs w:val="24"/>
        </w:rPr>
        <w:t xml:space="preserve">311. Для повышения потенциала органов внутренних дел по противодействию религиозному экстремизму и радикализму, в 2011 году во всех регионах страны проводились обучающие тренинги для участковых инспекторов милиции.</w:t>
      </w:r>
    </w:p>
    <w:p>
      <w:pPr>
        <w:spacing w:after="120"/>
        <w:jc w:val="both"/>
      </w:pPr>
      <w:r>
        <w:rPr>
          <w:rFonts w:ascii="Arial" w:cs="Arial" w:eastAsia="Arial" w:hAnsi="Arial"/>
          <w:sz w:val="24"/>
          <w:szCs w:val="24"/>
        </w:rPr>
        <w:t xml:space="preserve">312. Но, несмотря на усилия Правительства, угроза религиозного экстремизма и терроризма как внутри страны, так и в регионе сегодня актуальна. Высокий уровень бедности и безработица среди молодежи в сельской местности приводит к росту сторонников экстремизма и терроризма. На сегодняшний день точное количество сект и религиозных течений трудно установить в связи с их подпольной деятельностью.</w:t>
      </w:r>
    </w:p>
    <w:p>
      <w:pPr>
        <w:spacing w:after="120"/>
        <w:jc w:val="both"/>
      </w:pPr>
      <w:r>
        <w:rPr>
          <w:rFonts w:ascii="Arial" w:cs="Arial" w:eastAsia="Arial" w:hAnsi="Arial"/>
          <w:sz w:val="24"/>
          <w:szCs w:val="24"/>
        </w:rPr>
        <w:t xml:space="preserve">313. Число людей, получивших религиозное образование, растет с каждым годом, но у государства нет информации об их количестве и качестве их образования.</w:t>
      </w:r>
    </w:p>
    <w:p>
      <w:pPr>
        <w:spacing w:after="120"/>
        <w:jc w:val="both"/>
      </w:pPr>
      <w:r>
        <w:rPr>
          <w:rFonts w:ascii="Arial" w:cs="Arial" w:eastAsia="Arial" w:hAnsi="Arial"/>
          <w:sz w:val="24"/>
          <w:szCs w:val="24"/>
        </w:rPr>
        <w:t xml:space="preserve">314. Разобщенность и отсутствие диалога между различными конфессиями и сообществами создает угрозу радикализации религиозных течений. Июньские события 2010 года выявили много проблем, в том числе, религиозного характера, которые необходимо решать с участием всех заинтересованных сторон.</w:t>
      </w:r>
    </w:p>
    <w:p>
      <w:pPr>
        <w:spacing w:after="120"/>
        <w:jc w:val="both"/>
      </w:pPr>
      <w:r>
        <w:rPr>
          <w:rFonts w:ascii="Arial" w:cs="Arial" w:eastAsia="Arial" w:hAnsi="Arial"/>
          <w:sz w:val="24"/>
          <w:szCs w:val="24"/>
        </w:rPr>
        <w:t xml:space="preserve">315. Кроме того, вызывает обеспокоенность активный процесс политизации деятельности отдельных религиозных организаций, что может привести к конфликту в обществе.</w:t>
      </w:r>
    </w:p>
    <w:p>
      <w:pPr>
        <w:spacing w:after="120"/>
        <w:jc w:val="both"/>
      </w:pPr>
      <w:r>
        <w:rPr>
          <w:rFonts w:ascii="Arial" w:cs="Arial" w:eastAsia="Arial" w:hAnsi="Arial"/>
          <w:sz w:val="24"/>
          <w:szCs w:val="24"/>
        </w:rPr>
        <w:t xml:space="preserve">316. Для предупреждения угрозы религиозного экстремизма Правительство будет продолжать работать вместе с органами внутренних дел и органами местного самоуправления, а также с религиозными организациями. Также будет разработан механизм для учета граждан, получающих религиозное образование за рубежом и в стране.</w:t>
      </w:r>
    </w:p>
    <w:p>
      <w:pPr>
        <w:spacing w:after="120"/>
        <w:jc w:val="both"/>
      </w:pPr>
      <w:r>
        <w:rPr>
          <w:rFonts w:ascii="Arial" w:cs="Arial" w:eastAsia="Arial" w:hAnsi="Arial"/>
          <w:sz w:val="24"/>
          <w:szCs w:val="24"/>
        </w:rPr>
        <w:t xml:space="preserve">317. В целях создания единой площадки будет создан Межрелигиозный совет - совещательный орган по вопросам религий. Предполагается, что данный совет будет способствовать снижению радикализации и политизации религиозных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Развитие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В последние годы физическая культура и спорт в стране активно развиваются. Успешные выступления спортсменов Кыргызстана на мировой спортивной арене являются бесспорным доказательством развития этой сферы, завоевываются медали на чемпионатах мира, международных турнирах. Успешное выступление спортсменов Кыргызстана на международной спортивной арене привлекает молодежь к занятиям физической культурой и спортом. Правительством ежегодно проводятся республиканские соревнования среди сельской молодежи, спартакиады школьников, универсиады, чемпионаты и первенства.</w:t>
      </w:r>
    </w:p>
    <w:p>
      <w:pPr>
        <w:spacing w:after="120"/>
        <w:jc w:val="both"/>
      </w:pPr>
      <w:r>
        <w:rPr>
          <w:rFonts w:ascii="Arial" w:cs="Arial" w:eastAsia="Arial" w:hAnsi="Arial"/>
          <w:sz w:val="24"/>
          <w:szCs w:val="24"/>
        </w:rPr>
        <w:t xml:space="preserve">319. Вместе с тем, в этой сфере наблюдается крайне низкий уровень инфраструктуры и наличие спортивного инвентаря. Начиная с 1992 года, за счет средств государственного бюджета не построено ни одного спортивного объекта. Обеспеченность общеобразовательных школ спортивными залами - менее половины и оборудование не обновлялось в течение 15-20 лет; обеспеченность населения спортивными сооружениями составляет от 16% до 1%.</w:t>
      </w:r>
    </w:p>
    <w:p>
      <w:pPr>
        <w:spacing w:after="120"/>
        <w:jc w:val="both"/>
      </w:pPr>
      <w:r>
        <w:rPr>
          <w:rFonts w:ascii="Arial" w:cs="Arial" w:eastAsia="Arial" w:hAnsi="Arial"/>
          <w:sz w:val="24"/>
          <w:szCs w:val="24"/>
        </w:rPr>
        <w:t xml:space="preserve">320. Наблюдается ухудшение состояния здоровья различных групп населения, включая детей и подростков: 20% дошкольников и около 80% выпускников школ имеют отклонения в состоянии здоровья. Массовость физической культуры и спорта достигает всего 6-7%, что ниже порогового уровня безопасности генофонда (15%). При этом, высокий уровень бедности в сельской местности становится большим препятствием для популяризации спорта в регионах.</w:t>
      </w:r>
    </w:p>
    <w:p>
      <w:pPr>
        <w:spacing w:after="120"/>
        <w:jc w:val="both"/>
      </w:pPr>
      <w:r>
        <w:rPr>
          <w:rFonts w:ascii="Arial" w:cs="Arial" w:eastAsia="Arial" w:hAnsi="Arial"/>
          <w:sz w:val="24"/>
          <w:szCs w:val="24"/>
        </w:rPr>
        <w:t xml:space="preserve">321. В среднесрочной перспективе работа Правительства будет направлена: (i) на развитие инфраструктуры спорта; (ii) на увеличение числа тренерско-преподавательского состава.</w:t>
      </w:r>
    </w:p>
    <w:p>
      <w:pPr>
        <w:spacing w:after="120"/>
        <w:jc w:val="both"/>
      </w:pPr>
      <w:r>
        <w:rPr>
          <w:rFonts w:ascii="Arial" w:cs="Arial" w:eastAsia="Arial" w:hAnsi="Arial"/>
          <w:sz w:val="24"/>
          <w:szCs w:val="24"/>
        </w:rPr>
        <w:t xml:space="preserve">322. Для оптимизации материального обеспечения инфраструктуры будет проведена инвентаризация спортивных баз сети детско-юношеских спортивных школ и внесены соответствующие изменения в Закон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323. В целях повышения качества и количества кадров в области физической культуры и спорта планируется переход на Болонскую систему подготовки специалистов Кыргызской государственной академии по физической культуре и спорту, а также проведение краткосрочных курсов "Высшая школа тренеров".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Кыргызской Республикой подписан и ратифицирован ряд базовых документов ООН, направленных на достижение гендерного равенства. Присоединившись к международным инициативам, Кыргызстан намерен продвигать политику гендерного равенства в стране.</w:t>
      </w:r>
    </w:p>
    <w:p>
      <w:pPr>
        <w:spacing w:after="120"/>
        <w:jc w:val="both"/>
      </w:pPr>
      <w:r>
        <w:rPr>
          <w:rFonts w:ascii="Arial" w:cs="Arial" w:eastAsia="Arial" w:hAnsi="Arial"/>
          <w:sz w:val="24"/>
          <w:szCs w:val="24"/>
        </w:rPr>
        <w:t xml:space="preserve">325. Для эффективного продвижения гендерной политики уже создана нормативно-правовая база: приняты (i) Закон Кыргызской Республики "О государственных гарантиях обеспечения равных прав и равных возможностей для мужчин и женщин" и (ii) Закон Кыргызской Республики "О социально-правовой защите от насилия в семье". Включение специальных мер в Кодекс Кыргызской Республики "О выборах в Кыргызской Республике" и другие законы обеспечило представительство женщин в Парламенте, Правительстве, судейском корпусе.</w:t>
      </w:r>
    </w:p>
    <w:p>
      <w:pPr>
        <w:spacing w:after="120"/>
        <w:jc w:val="both"/>
      </w:pPr>
      <w:r>
        <w:rPr>
          <w:rFonts w:ascii="Arial" w:cs="Arial" w:eastAsia="Arial" w:hAnsi="Arial"/>
          <w:sz w:val="24"/>
          <w:szCs w:val="24"/>
        </w:rPr>
        <w:t xml:space="preserve">326. Роль Правительства в сфере достижения гендерного равенства будет заключаться в проведении правовых и институциональных изменений, призванных устранить гендерную дискриминацию.</w:t>
      </w:r>
    </w:p>
    <w:p>
      <w:pPr>
        <w:spacing w:after="120"/>
        <w:jc w:val="both"/>
      </w:pPr>
      <w:r>
        <w:rPr>
          <w:rFonts w:ascii="Arial" w:cs="Arial" w:eastAsia="Arial" w:hAnsi="Arial"/>
          <w:sz w:val="24"/>
          <w:szCs w:val="24"/>
        </w:rPr>
        <w:t xml:space="preserve">327. Поэтому, политика достижения гендерного равенства будет ориентирована на продвижение гендерных инициатив через институциональное укрепление, а также финансирование мер гендерной политики и интеграцию политики гендерного равенства в национальные, секторальные и региональные стратегические документы. Ключевыми инициативами по продвижению гендерной политики в среднесрочной перспективе будут: (i) совершенствование национального законодательства в области гендерной политики, приведение его в соответствие с международными правовыми стандартами, принятие правовых, организационных, административных мер, направленных на повышение статуса женщин, защиту их прав и интересов, поощрение равенства между мужчинами и женщинами; (ii) создание институциональных механизмов по реализации гендерной политики; (iii) разработка и реализация государственных целевых программ, направленных на достижение гендерного равенства; (iv) воспитание и пропаганда культуры гендерного равенства.</w:t>
      </w:r>
    </w:p>
    <w:p>
      <w:pPr>
        <w:spacing w:after="120"/>
        <w:jc w:val="both"/>
      </w:pPr>
      <w:r>
        <w:rPr>
          <w:rFonts w:ascii="Arial" w:cs="Arial" w:eastAsia="Arial" w:hAnsi="Arial"/>
          <w:sz w:val="24"/>
          <w:szCs w:val="24"/>
        </w:rPr>
        <w:t xml:space="preserve">328. Ключевыми мерами политики по достижению гендерного равенства будут: (i) внесение изменений и дополнений в Закон Кыргызской Республики "О социально-правовой защите от насилия в семье"; (ii) подготовка Национального доклада о реализации Конвенции о ликвидации всех форм дискриминации в отношении женщин (CEDAW); (iii) разработка более совершенных механизмов проведения обязательной гендерной экспертизы всех проектов нормативных правовых актов и программ развития; (iv) разработка и утверждение Национальной стратегии гендерного развития до 2020 года, для успешной реализации которой на первом этапе будет разработан и утвержден Национальный план действий по достижению гендерного равенства на 2012-2014 годы; (vi) разработка и утверждение Национального плана действий по исполнению резолюций Совета Безопасности ООН 1325 (2000 г.) и 1820 (2008 г.) об обеспечении участия женщин на всех уровнях в принятии решений по вопросам предотвращения, регулирования и разрешения конфликтов. Эти планы являются неотъемлемой частью настоящей Программы развития Кыргызской Республики (2012-2014 гг).</w:t>
      </w:r>
    </w:p>
    <w:p>
      <w:pPr>
        <w:spacing w:after="120"/>
        <w:jc w:val="both"/>
      </w:pPr>
      <w:r>
        <w:rPr>
          <w:rFonts w:ascii="Arial" w:cs="Arial" w:eastAsia="Arial" w:hAnsi="Arial"/>
          <w:sz w:val="24"/>
          <w:szCs w:val="24"/>
        </w:rPr>
        <w:t xml:space="preserve">IX.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Внутренняя и внешняя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Установление правопорядка и обеспечение безопасности</w:t>
      </w:r>
    </w:p>
    <w:p>
      <w:pPr>
        <w:spacing w:after="120"/>
        <w:jc w:val="both"/>
      </w:pPr>
      <w:r>
        <w:rPr>
          <w:rFonts w:ascii="Arial" w:cs="Arial" w:eastAsia="Arial" w:hAnsi="Arial"/>
          <w:sz w:val="24"/>
          <w:szCs w:val="24"/>
        </w:rPr>
        <w:t xml:space="preserve">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Политические события 2010 года в стране наглядно обнажили накопленные проблемы в сфере внутренней безопасности. В результате допущенных ошибок и просчетов в организационно-управленческой и, особенно, кадровой работе правоохранительные органы были ослаблены, потеряли доверие у населения и не могли полноценно осуществлять свои функции. При этом, на второй план отошли присущие правоохранительным органам функции, такие как: (i) борьба с организованной преступностью; (ii) обеспечение общественной безопасности; (iii) превентивные меры и информирование политического руководства страны о негативных процессах и противоречиях, включая сферу межнациональных конфликтов.</w:t>
      </w:r>
    </w:p>
    <w:p>
      <w:pPr>
        <w:spacing w:after="120"/>
        <w:jc w:val="both"/>
      </w:pPr>
      <w:r>
        <w:rPr>
          <w:rFonts w:ascii="Arial" w:cs="Arial" w:eastAsia="Arial" w:hAnsi="Arial"/>
          <w:sz w:val="24"/>
          <w:szCs w:val="24"/>
        </w:rPr>
        <w:t xml:space="preserve">330. Были выявлены факты незаконного хранения огнестрельного оружия, разгула преступности и сращивания ее с властными структурами. Изъятие собственности без судебных решений, рейдерские захваты собственности становились нормой. Несправедливые решения правоохранительных органов все более снижали уровень доверия со стороны бизнеса. Кыргызстан не был включен в рейтинг Международного Индекса Прав Собственности 2011.</w:t>
      </w:r>
    </w:p>
    <w:p>
      <w:pPr>
        <w:spacing w:after="120"/>
        <w:jc w:val="both"/>
      </w:pPr>
      <w:r>
        <w:rPr>
          <w:rFonts w:ascii="Arial" w:cs="Arial" w:eastAsia="Arial" w:hAnsi="Arial"/>
          <w:sz w:val="24"/>
          <w:szCs w:val="24"/>
        </w:rPr>
        <w:t xml:space="preserve">331. Исходя из трагического опыта апрельских и июньских событий 2010 года, целевым направлением деятельности в обеспечении правопорядка и безопасности граждан станет сохранение единства Кыргызстана, принятие действенных мер по пресечению проявлений регионалистского и националистического характера, противодействие наркотрафику, организованной преступности и проникновению экстремистов, формирование атмосферы безопасности.</w:t>
      </w:r>
    </w:p>
    <w:p>
      <w:pPr>
        <w:spacing w:after="120"/>
        <w:jc w:val="both"/>
      </w:pPr>
      <w:r>
        <w:rPr>
          <w:rFonts w:ascii="Arial" w:cs="Arial" w:eastAsia="Arial" w:hAnsi="Arial"/>
          <w:sz w:val="24"/>
          <w:szCs w:val="24"/>
        </w:rPr>
        <w:t xml:space="preserve">332. Решающим шагом в установлении правопорядка и обеспечения безопасности граждан станет реформа всего правоохранительного блока с целью подчинения его деятельности интересам защиты прав простых граждан, искоренения коррупции, связи с криминалом, применения пыток и насилия, нарушения прав человека. Правительством уже приняты действенные меры по декриминализации общества и экономики, в том числе создание Главного управления по борьбе с организованной преступностью. Наиболее влиятельные члены организованных преступных формирований находятся в заключении или скрываются за пределами страны.</w:t>
      </w:r>
    </w:p>
    <w:p>
      <w:pPr>
        <w:spacing w:after="120"/>
        <w:jc w:val="both"/>
      </w:pPr>
      <w:r>
        <w:rPr>
          <w:rFonts w:ascii="Arial" w:cs="Arial" w:eastAsia="Arial" w:hAnsi="Arial"/>
          <w:sz w:val="24"/>
          <w:szCs w:val="24"/>
        </w:rPr>
        <w:t xml:space="preserve">333. Реформирование системы правоохранительных органов планируется осуществить по следующим направлениям: (i) процессуальное закрепление особого статуса следователей; (ii) возрождение института дознавателей; (iii) законодательное закрепление статуса Генеральной прокуратуры Кыргызской Республики в качестве надзорного органа только по гражданским, административным и уголовным делам (исключив функции общего надзора); (iv) реформирование Главного управления по безопасности дорожного движения при Министерстве внутренних дел Кыргызской Республики (ГАИ); (v) создание специального технического подразделения при Министерстве внутренних дел Кыргызской Республики с применением новейших технологий; (vi) перераспределение полномочий между центральными органами и органами местного самоуправления в сфере обеспечения правопорядка и общественной безопасности и др.</w:t>
      </w:r>
    </w:p>
    <w:p>
      <w:pPr>
        <w:spacing w:after="120"/>
        <w:jc w:val="both"/>
      </w:pPr>
      <w:r>
        <w:rPr>
          <w:rFonts w:ascii="Arial" w:cs="Arial" w:eastAsia="Arial" w:hAnsi="Arial"/>
          <w:sz w:val="24"/>
          <w:szCs w:val="24"/>
        </w:rPr>
        <w:t xml:space="preserve">334. В целях повышения эффективности деятельности правоохранительных органов по обеспечению общественного порядка и профилактики правонарушений с участием гражданского общества будут реализованы следующие меры: (i) разработка и внедрение механизмов поощрения и стимулирования представителей гражданского общества за содействие правоохранительным органам; (ii) возрождение народных дружин (ДНД); (iii) разработка и внедрение механизмов по защите свидетелей; (iv) повышение активности Общественного профилактического центра (ОПЦ) в регионах; (v) расширение мер по выкупу и изъятию оружия у населения.</w:t>
      </w:r>
    </w:p>
    <w:p>
      <w:pPr>
        <w:spacing w:after="120"/>
        <w:jc w:val="both"/>
      </w:pPr>
      <w:r>
        <w:rPr>
          <w:rFonts w:ascii="Arial" w:cs="Arial" w:eastAsia="Arial" w:hAnsi="Arial"/>
          <w:sz w:val="24"/>
          <w:szCs w:val="24"/>
        </w:rPr>
        <w:t xml:space="preserve">335. В целях фиксации противоправных действий и дорожно-транспортных происшествий в городах и крупных населенных пунктах будет реализован проект "Безопасный город" с установкой систем видеонаблюдения.</w:t>
      </w:r>
    </w:p>
    <w:p>
      <w:pPr>
        <w:spacing w:after="120"/>
        <w:jc w:val="both"/>
      </w:pPr>
      <w:r>
        <w:rPr>
          <w:rFonts w:ascii="Arial" w:cs="Arial" w:eastAsia="Arial" w:hAnsi="Arial"/>
          <w:sz w:val="24"/>
          <w:szCs w:val="24"/>
        </w:rPr>
        <w:t xml:space="preserve">336. В целях сокращения функционального параллелизма и сокращения бюджетных расходов будет проведена оптимизация и разграничение функций между правоохранительными органами Кыргызской Республики, в части расследования экономических и должностных преступлений, с сосредоточением функций по расследованию экономических преступлений в одном органе.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Внешняя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Кыргызская Республика продолжит укрепление собственных Вооруженных сил и будет сотрудничать в военной сфере с международными партнерами в соответствии с национальными интересами.</w:t>
      </w:r>
    </w:p>
    <w:p>
      <w:pPr>
        <w:spacing w:after="120"/>
        <w:jc w:val="both"/>
      </w:pPr>
      <w:r>
        <w:rPr>
          <w:rFonts w:ascii="Arial" w:cs="Arial" w:eastAsia="Arial" w:hAnsi="Arial"/>
          <w:sz w:val="24"/>
          <w:szCs w:val="24"/>
        </w:rPr>
        <w:t xml:space="preserve">338. Правительство будет активно участвовать в подготовке единой Концепции укрепления обороноспособности и национальной безопасности, инициированной верховным главнокомандующим Кыргызской Республики.</w:t>
      </w:r>
    </w:p>
    <w:p>
      <w:pPr>
        <w:spacing w:after="120"/>
        <w:jc w:val="both"/>
      </w:pPr>
      <w:r>
        <w:rPr>
          <w:rFonts w:ascii="Arial" w:cs="Arial" w:eastAsia="Arial" w:hAnsi="Arial"/>
          <w:sz w:val="24"/>
          <w:szCs w:val="24"/>
        </w:rPr>
        <w:t xml:space="preserve">339. Реформа Государственного комитета национальной безопасности Кыргызской Республики (ГКНБ) будет ускорена на основе четкого распределения функций между правоохранительными органами. Работа спецслужб будет полностью переориентирована на предупреждение и устранение внешних угроз и на борьбу с терроризмом.</w:t>
      </w:r>
    </w:p>
    <w:p>
      <w:pPr>
        <w:spacing w:after="120"/>
        <w:jc w:val="both"/>
      </w:pPr>
      <w:r>
        <w:rPr>
          <w:rFonts w:ascii="Arial" w:cs="Arial" w:eastAsia="Arial" w:hAnsi="Arial"/>
          <w:sz w:val="24"/>
          <w:szCs w:val="24"/>
        </w:rPr>
        <w:t xml:space="preserve">340. Путем проведения структурных преобразований в Государственной службе по контролю наркотиков при Правительстве Кыргызской Республики будет усилен "Баткенский проход".</w:t>
      </w:r>
    </w:p>
    <w:p>
      <w:pPr>
        <w:spacing w:after="120"/>
        <w:jc w:val="both"/>
      </w:pPr>
      <w:r>
        <w:rPr>
          <w:rFonts w:ascii="Arial" w:cs="Arial" w:eastAsia="Arial" w:hAnsi="Arial"/>
          <w:sz w:val="24"/>
          <w:szCs w:val="24"/>
        </w:rPr>
        <w:t xml:space="preserve">341. Проводимые реформы в области военных частей и формирований предполагают: (i) придать статус самостоятельного органа Пограничной службе ГКНБ Кыргызской Республики; (ii) создать подразделение "Горных стрелков" за счет структурных преобразований внутри Министерства обороны Кыргызской Республики.</w:t>
      </w:r>
    </w:p>
    <w:p>
      <w:pPr>
        <w:spacing w:after="120"/>
        <w:jc w:val="both"/>
      </w:pPr>
      <w:r>
        <w:rPr>
          <w:rFonts w:ascii="Arial" w:cs="Arial" w:eastAsia="Arial" w:hAnsi="Arial"/>
          <w:sz w:val="24"/>
          <w:szCs w:val="24"/>
        </w:rPr>
        <w:t xml:space="preserve">342. Для повышения качества образовательных стандартов подготовки личного состава, постепенной замены устаревшей морально и технически военной техники и вооружения, а также улучшения всего материально-технического оснащения предполагается принятие следующих мер: (i) подготовка специалистов для соединений авиации, зенитно-ракетных, радиотехнических соединений и частей СВО Вооруженных сил Кыргызской Республики; (ii) установка в органах управления войск цифровых автоматических телефонных станций и VP№ каналов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Реформа судебной системы и гарантии прав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Без реформы судебной системы невозможно достичь в полной мере ожидаемого эффекта от проводимых реформ во всех сферах жизнедеятельности государства и общества.</w:t>
      </w:r>
    </w:p>
    <w:p>
      <w:pPr>
        <w:spacing w:after="120"/>
        <w:jc w:val="both"/>
      </w:pPr>
      <w:r>
        <w:rPr>
          <w:rFonts w:ascii="Arial" w:cs="Arial" w:eastAsia="Arial" w:hAnsi="Arial"/>
          <w:sz w:val="24"/>
          <w:szCs w:val="24"/>
        </w:rPr>
        <w:t xml:space="preserve">344. Главная проблема в функционировании судебной системы состоит в отсутствии должной прозрачности и подконтрольности обществу результатов ее работы. Судебная система Кыргызской Республики потеряла доверие общества как независимый институт защиты прав и свобод человека.</w:t>
      </w:r>
    </w:p>
    <w:p>
      <w:pPr>
        <w:spacing w:after="120"/>
        <w:jc w:val="both"/>
      </w:pPr>
      <w:r>
        <w:rPr>
          <w:rFonts w:ascii="Arial" w:cs="Arial" w:eastAsia="Arial" w:hAnsi="Arial"/>
          <w:sz w:val="24"/>
          <w:szCs w:val="24"/>
        </w:rPr>
        <w:t xml:space="preserve">345. Инициируемые Правительством меры, направленные на искоренение криминалитета, не приносят пока должных результатов, поскольку в судебной системе имеет место как некомпетентность, так и коррумпированность определенной части судейского корпуса.</w:t>
      </w:r>
    </w:p>
    <w:p>
      <w:pPr>
        <w:spacing w:after="120"/>
        <w:jc w:val="both"/>
      </w:pPr>
      <w:r>
        <w:rPr>
          <w:rFonts w:ascii="Arial" w:cs="Arial" w:eastAsia="Arial" w:hAnsi="Arial"/>
          <w:sz w:val="24"/>
          <w:szCs w:val="24"/>
        </w:rPr>
        <w:t xml:space="preserve">346. Поэтому, вопрос реформирования судебной системы сегодня является актуальным и безотлагательным. Реформа судебной системы будет направлена на достижение следующих результатов: (i) прозрачность процедуры и совершенствование критериев отбора судей; (ii) повышение эффективности и качества рассмотрения дел, с размещением принятых судебных решений на ведомственных сайтах; (iii) повышение уровня исполнения судебных решений; (iv) развитие самоуправления судей через Съезд судей, через создание независимого Совета судей и других органов судейского самоуправления; (v) минимизация сроков лишения свободы за незначительные правонарушения.</w:t>
      </w:r>
    </w:p>
    <w:p>
      <w:pPr>
        <w:spacing w:after="120"/>
        <w:jc w:val="both"/>
      </w:pPr>
      <w:r>
        <w:rPr>
          <w:rFonts w:ascii="Arial" w:cs="Arial" w:eastAsia="Arial" w:hAnsi="Arial"/>
          <w:sz w:val="24"/>
          <w:szCs w:val="24"/>
        </w:rPr>
        <w:t xml:space="preserve">347. В рамках проводимой реформы судебной системы будут заложены основы обеспечения прозрачности и гласности при рассмотрении судебных дел по нарушениям прав собственности. Правительство здесь рекомендует следующие конкретные меры: (i) ввести мораторий на произвольное лишение частной собственности путем национализации, до момента пересмотра процедур национализации и закрепления названной процедуры в законах Кыргызской Республики в соответствии с нормами Конституции Кыргызской Республики и нормами международного права; (ii) установить закрытый перечень оснований, дающих право производить изъятие частной собственности государством (реквизиция, принудительный выкуп в интересах общества, временное изъятие и т.д.), включая принятие специальных законов, предусматривающих справедливые механизмы изъятия имущества и полной компенсации рыночной стоимости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Высокогорный характер подавляющей части территории страны (96%) предопределяет высокую уязвимость экосистем к природным и антропогенным воздействиям. В этой связи обеспечение экологической устойчивости в единстве с социально-экономическими и институциональными аспектами создает основу для устойчивого развития страны и достижения целей развития тысячелетия (ЦРТ).</w:t>
      </w:r>
    </w:p>
    <w:p>
      <w:pPr>
        <w:spacing w:after="120"/>
        <w:jc w:val="both"/>
      </w:pPr>
      <w:r>
        <w:rPr>
          <w:rFonts w:ascii="Arial" w:cs="Arial" w:eastAsia="Arial" w:hAnsi="Arial"/>
          <w:sz w:val="24"/>
          <w:szCs w:val="24"/>
        </w:rPr>
        <w:t xml:space="preserve">349. Новые вызовы, связанные с климатическими изменениями и деградационными процессами природных ресурсов, отрицательно влияют на качество жизни граждан, требуя принятия своевременных мер. Второй отчет Кыргызской республики по ЦРТ отмечает, что изменение климата также приведет к увеличению экстремальных погодных явлений, разрушению экосистем, угрозам здоровью людей, потере биоразнообразия, деградации земельных ресурсов. Особенно актуальными могут стать вопросы продовольственной и энергетической безопасности, которые напрямую влияют на уровень бедности в стране.</w:t>
      </w:r>
    </w:p>
    <w:p>
      <w:pPr>
        <w:spacing w:after="120"/>
        <w:jc w:val="both"/>
      </w:pPr>
      <w:r>
        <w:rPr>
          <w:rFonts w:ascii="Arial" w:cs="Arial" w:eastAsia="Arial" w:hAnsi="Arial"/>
          <w:sz w:val="24"/>
          <w:szCs w:val="24"/>
        </w:rPr>
        <w:t xml:space="preserve">350. Природоохранный сектор Кыргызстана находится под влиянием долго- и краткосрочных экономических трудностей страны, которые ограничивают финансовые ресурсы. Нехватка финансирования имеет место не только из-за ограниченного госбюджета, но и из-за слабого продвижения инициативы сохранения и рационального использования природных ресурсов во взаимосвязи с экономическим развитием и уровнем бедности, особенно регионов.</w:t>
      </w:r>
    </w:p>
    <w:p>
      <w:pPr>
        <w:spacing w:after="120"/>
        <w:jc w:val="both"/>
      </w:pPr>
      <w:r>
        <w:rPr>
          <w:rFonts w:ascii="Arial" w:cs="Arial" w:eastAsia="Arial" w:hAnsi="Arial"/>
          <w:sz w:val="24"/>
          <w:szCs w:val="24"/>
        </w:rPr>
        <w:t xml:space="preserve">351. Кыргызская Республика является стороной 13 международных природоохранных договоров и конвенций, выполнение обязательств по которым способствует поддержанию экологической устойчивости и позволяет привлекать внешние финансовые средства для стабилизации, предотвращения деградационных процессов природных ресурсов, повышения потенциала жизнеобеспечения страны как основы снижения уровня бедности и социально-экономического развития.</w:t>
      </w:r>
    </w:p>
    <w:p>
      <w:pPr>
        <w:spacing w:after="120"/>
        <w:jc w:val="both"/>
      </w:pPr>
      <w:r>
        <w:rPr>
          <w:rFonts w:ascii="Arial" w:cs="Arial" w:eastAsia="Arial" w:hAnsi="Arial"/>
          <w:sz w:val="24"/>
          <w:szCs w:val="24"/>
        </w:rPr>
        <w:t xml:space="preserve">352. Кыргызстан имеет значительный внешний долг. Поэтому, продвижение деятельности по его обмену на национальные проекты по охране окружающей среды и устойчивому развитию приобретают особую актуальность, требуя постоянной, целенаправленной совместной деятельности государственных структур.</w:t>
      </w:r>
    </w:p>
    <w:p>
      <w:pPr>
        <w:spacing w:after="120"/>
        <w:jc w:val="both"/>
      </w:pPr>
      <w:r>
        <w:rPr>
          <w:rFonts w:ascii="Arial" w:cs="Arial" w:eastAsia="Arial" w:hAnsi="Arial"/>
          <w:sz w:val="24"/>
          <w:szCs w:val="24"/>
        </w:rPr>
        <w:t xml:space="preserve">353. В рекомендациях Второго Отчета Кыргызской Республики по ЦРТ (2010 г.) отмечена необходимость совершенствования законодательства в области природопользования и охраны окружающей среды, в том числе системы экологической регламентации режимов природопользования, регулирования функций по владению, использованию и распоряжению природными ресурсами и гармонизации с международными соглашениями, стороной которых является Кыргызстан.</w:t>
      </w:r>
    </w:p>
    <w:p>
      <w:pPr>
        <w:spacing w:after="120"/>
        <w:jc w:val="both"/>
      </w:pPr>
      <w:r>
        <w:rPr>
          <w:rFonts w:ascii="Arial" w:cs="Arial" w:eastAsia="Arial" w:hAnsi="Arial"/>
          <w:sz w:val="24"/>
          <w:szCs w:val="24"/>
        </w:rPr>
        <w:t xml:space="preserve">354. Прогрессирующая урбанизация территорий сопровождается снижением доступности к качественной питьевой воде и адекватным системам канализации, значительным ростом загрязнения воздуха выбросами от стационарных источников и автомобильного транспорта, проблемой накопления твердых бытовых отходов. Нерациональное использование химических веществ является одной из причин загрязнения объектов окружающей среды, особенно в местах захоронений устаревших пестицидов. В этом направлении планируется разработать комплексную программу по надлежащему управлению химическими веществами, с использованием межсекторального подхода.</w:t>
      </w:r>
    </w:p>
    <w:p>
      <w:pPr>
        <w:spacing w:after="120"/>
        <w:jc w:val="both"/>
      </w:pPr>
      <w:r>
        <w:rPr>
          <w:rFonts w:ascii="Arial" w:cs="Arial" w:eastAsia="Arial" w:hAnsi="Arial"/>
          <w:sz w:val="24"/>
          <w:szCs w:val="24"/>
        </w:rPr>
        <w:t xml:space="preserve">355. В Кыргызской Республике наблюдается процесс потери биоразнообразия. Особую обеспокоенность вызывает состояние эндемичной ихтиофауны озера Иссык-Куль. Ввиду отсутствия достаточного финансирования, деятельность по сохранению биоразнообразия ведется только в особо охраняемых природных территориях (ООПТ) и существует необходимость расширения их территории, укрепления потенциала, сохранения биоразнообразия в продуктивных ландшафтах, а также в разработке стратегии по сохранению биоразнообразия.</w:t>
      </w:r>
    </w:p>
    <w:p>
      <w:pPr>
        <w:spacing w:after="120"/>
        <w:jc w:val="both"/>
      </w:pPr>
      <w:r>
        <w:rPr>
          <w:rFonts w:ascii="Arial" w:cs="Arial" w:eastAsia="Arial" w:hAnsi="Arial"/>
          <w:sz w:val="24"/>
          <w:szCs w:val="24"/>
        </w:rPr>
        <w:t xml:space="preserve">356. Для решения этих проблем Правительство намерено продвигать такие инициативы, как: (i) реформирование государственной экологической политики и законодательства; (ii) разработка национальной политики по изменению климата; (iii) развитие международного сотрудничества для решения национальных экологических проблем; (iv) повышение эффективности мер по сохранению биоразнообразия и рациональному использованию природных ресурсов.</w:t>
      </w:r>
    </w:p>
    <w:p>
      <w:pPr>
        <w:spacing w:after="120"/>
        <w:jc w:val="both"/>
      </w:pPr>
      <w:r>
        <w:rPr>
          <w:rFonts w:ascii="Arial" w:cs="Arial" w:eastAsia="Arial" w:hAnsi="Arial"/>
          <w:sz w:val="24"/>
          <w:szCs w:val="24"/>
        </w:rPr>
        <w:t xml:space="preserve">357. В рамках реформирования государственной экологической политики, законодательно будет проведена работа по разделению разрешительной политики и контрольной системы, по разработке и пересмотру национальных экологических стратегических документов. Для демонстрации вклада окружающей среды в экономическое развитие, снижение бедности и достижение ЦРТ будет реализована инициатива ПРООН/ЮНЕП "Бедность и Окружающая Среда".</w:t>
      </w:r>
    </w:p>
    <w:p>
      <w:pPr>
        <w:spacing w:after="120"/>
        <w:jc w:val="both"/>
      </w:pPr>
      <w:r>
        <w:rPr>
          <w:rFonts w:ascii="Arial" w:cs="Arial" w:eastAsia="Arial" w:hAnsi="Arial"/>
          <w:sz w:val="24"/>
          <w:szCs w:val="24"/>
        </w:rPr>
        <w:t xml:space="preserve">358. Будет разработана национальная политика и пакет мер по адаптации, смягчению последствий изменения климата, включая продвижение низкоуглеродного развития, принципы "зеленой экономики" и улучшение энергоэффективности зданий.</w:t>
      </w:r>
    </w:p>
    <w:p>
      <w:pPr>
        <w:spacing w:after="120"/>
        <w:jc w:val="both"/>
      </w:pPr>
      <w:r>
        <w:rPr>
          <w:rFonts w:ascii="Arial" w:cs="Arial" w:eastAsia="Arial" w:hAnsi="Arial"/>
          <w:sz w:val="24"/>
          <w:szCs w:val="24"/>
        </w:rPr>
        <w:t xml:space="preserve">359. В рамках развития международного сотрудничества для решения национальных экологических проблем будет реализован ряд проектов, направленных на выполнение обязательств по глобальным экологическим конвенциям и соглашениям.</w:t>
      </w:r>
    </w:p>
    <w:p>
      <w:pPr>
        <w:spacing w:after="120"/>
        <w:jc w:val="both"/>
      </w:pPr>
      <w:r>
        <w:rPr>
          <w:rFonts w:ascii="Arial" w:cs="Arial" w:eastAsia="Arial" w:hAnsi="Arial"/>
          <w:sz w:val="24"/>
          <w:szCs w:val="24"/>
        </w:rPr>
        <w:t xml:space="preserve">360. Значительное внимание будет уделено улучшению инвестиционного климата для решения национальных экологических проблем через улучшение прозрачности привлечения финансовых ресурсов ГЭФ и других доноров, продвижение странового механизма "Обмен внешнего долга на устойчивое развитие", координацию мер по обеспечению радиационной безопасности в рамках МАГАТЭ(3), через разработку национального доклада о состоянии окружающей среды на основе международных индикаторов ЕЭК ООН(4).</w:t>
      </w:r>
    </w:p>
    <w:p>
      <w:pPr>
        <w:spacing w:after="120"/>
        <w:jc w:val="both"/>
      </w:pPr>
      <w:r>
        <w:rPr>
          <w:rFonts w:ascii="Arial" w:cs="Arial" w:eastAsia="Arial" w:hAnsi="Arial"/>
          <w:sz w:val="24"/>
          <w:szCs w:val="24"/>
        </w:rPr>
        <w:t xml:space="preserve">361. В рамках повышения эффективности мер по сохранению биоразнообразия и рациональному использованию природных ресурсов будет реализована деятельность по укреплению потенциала сети особо охраняемых природных территорий (ООПТ) и восстановлению лесных экосистем. Будет начато проведение лесоустройства единого лесного фонда и ООПТ, инвентаризация охотничьих угодий, а также произведена посадка лесных культур на территории Государственного лесного фонда и вне этих земель.</w:t>
      </w:r>
    </w:p>
    <w:p>
      <w:pPr>
        <w:spacing w:after="120"/>
        <w:jc w:val="both"/>
      </w:pPr>
      <w:r>
        <w:rPr>
          <w:rFonts w:ascii="Arial" w:cs="Arial" w:eastAsia="Arial" w:hAnsi="Arial"/>
          <w:sz w:val="24"/>
          <w:szCs w:val="24"/>
        </w:rPr>
        <w:t xml:space="preserve">362. Одним из приоритетов будет развитие межведомственного и межсекторального сотрудничества через: (i) реализацию мер, предусмотренных в "Комплексе мер по экологической безопасности Кыргызской Республики до 2015 года"; (ii) разработку основы для внедрения Стратегической Экологической Оценки; (iii) улучшение информирования и вовлечение гражданского общества в процесс разработки и реализации экологической политики 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363. Природные катаклизмы, техногенные аварии из года в год представляют для нашей страны все большую опасность.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364. В Кыргызстане насчитывается не менее 14 тысяч опасных участков, районов и зон источников стихийных бедствий и чрезвычайных ситуаций. Анализ стихийных бедствий, происшедших в стране за последние годы, подтверждает тенденцию их ежегодного роста. Поэтому, назрела необходимость более активного влияния государства на управление рисками, когда вопрос защиты населения в чрезвычайных ситуациях должен стать приоритетом и важнейшей задачей государства и органов управления всех уровней. На всех уровнях государственной власти и управления должны четко выполняться мероприятия по усилению оперативности, укреплению уровня подготовки, потенциала сил и средств органов управления Гражданской защиты.</w:t>
      </w:r>
    </w:p>
    <w:p>
      <w:pPr>
        <w:spacing w:after="120"/>
        <w:jc w:val="both"/>
      </w:pPr>
      <w:r>
        <w:rPr>
          <w:rFonts w:ascii="Arial" w:cs="Arial" w:eastAsia="Arial" w:hAnsi="Arial"/>
          <w:sz w:val="24"/>
          <w:szCs w:val="24"/>
        </w:rPr>
        <w:t xml:space="preserve">365. Важную роль в своевременном принятии оперативных решений и действий по предупреждению и ликвидации чрезвычайных ситуаций имеет дальнейшее совершенствование и развитие единой сети центров управления в кризисных ситуациях. Первостепенное значение в предупреждении чрезвычайных ситуаций природного и техногенного характера имеет проведение по ним эффективного мониторинга и прогнозирования. Ежегодный объем выделяемых бюджетных средств, в основном, используется на ликвидацию последствий чрезвычайных ситуаций. Для улучшения качества прогнозирования опасных природных процессов и явлений, предоставления гидрометеорологического обслуживания органам государственной власти, отраслям экономики и населению необходимо провести мероприятия по восстановлению и техническому перевооружению гидрометеорологической наблюдательной сети. Формирование эффективного мониторинга и прогнозирования совместно с наличием информационно-управляющей системы в чрезвычайных и кризисных ситуациях позволит перейти к улучшению превентивной деятельности, а в перспективе - к снижению расходов на ликвидацию последствий ЧС и уменьшению человеческих жертв.</w:t>
      </w:r>
    </w:p>
    <w:p>
      <w:pPr>
        <w:spacing w:after="120"/>
        <w:jc w:val="both"/>
      </w:pPr>
      <w:r>
        <w:rPr>
          <w:rFonts w:ascii="Arial" w:cs="Arial" w:eastAsia="Arial" w:hAnsi="Arial"/>
          <w:sz w:val="24"/>
          <w:szCs w:val="24"/>
        </w:rPr>
        <w:t xml:space="preserve">366. Особую тревогу вызывает наличие в стране 37 горных отвалов и 35 хвостохранилищ, накопившихся в результате многолетней деятельности урановых рудников и перерабатывающих предприятий. В хвостохранилищах и горных отвалах захоронено около 250 млн. кубометров токсичных и радиоактивных отходов горнорудного производства.</w:t>
      </w:r>
    </w:p>
    <w:p>
      <w:pPr>
        <w:spacing w:after="120"/>
        <w:jc w:val="both"/>
      </w:pPr>
      <w:r>
        <w:rPr>
          <w:rFonts w:ascii="Arial" w:cs="Arial" w:eastAsia="Arial" w:hAnsi="Arial"/>
          <w:sz w:val="24"/>
          <w:szCs w:val="24"/>
        </w:rPr>
        <w:t xml:space="preserve">367. В условиях дефицита государственного бюджета важным направлением является развитие международного сотрудничества в области предупреждения и ликвидации чрезвычайных ситуаций.</w:t>
      </w:r>
    </w:p>
    <w:p>
      <w:pPr>
        <w:spacing w:after="120"/>
        <w:jc w:val="both"/>
      </w:pPr>
      <w:r>
        <w:rPr>
          <w:rFonts w:ascii="Arial" w:cs="Arial" w:eastAsia="Arial" w:hAnsi="Arial"/>
          <w:sz w:val="24"/>
          <w:szCs w:val="24"/>
        </w:rPr>
        <w:t xml:space="preserve">368. Учитывая эти проблемы, Правительство намерено создать развитую государственную систему Гражданской защиты Кыргызской Республики. Решение этой задачи предполагает: (i) разработку стратегической нормативной правовой базы в области Гражданской защиты; (ii) повышение эффективности мониторинга и прогнозирования стихийных бедствий и катастроф; (iii) своевременное проведение превентивных, защитных мероприятий и (iv) международное сотрудничество в области предупреждения и ликвидации ЧС.</w:t>
      </w:r>
    </w:p>
    <w:p>
      <w:pPr>
        <w:spacing w:after="120"/>
        <w:jc w:val="both"/>
      </w:pPr>
      <w:r>
        <w:rPr>
          <w:rFonts w:ascii="Arial" w:cs="Arial" w:eastAsia="Arial" w:hAnsi="Arial"/>
          <w:sz w:val="24"/>
          <w:szCs w:val="24"/>
        </w:rPr>
        <w:t xml:space="preserve">369. В рамках разработки стратегической нормативной правовой базы в области Гражданской защиты будет разработан комплект документов по созданию Национальной платформы, включая подзаконные акты.</w:t>
      </w:r>
    </w:p>
    <w:p>
      <w:pPr>
        <w:spacing w:after="120"/>
        <w:jc w:val="both"/>
      </w:pPr>
      <w:r>
        <w:rPr>
          <w:rFonts w:ascii="Arial" w:cs="Arial" w:eastAsia="Arial" w:hAnsi="Arial"/>
          <w:sz w:val="24"/>
          <w:szCs w:val="24"/>
        </w:rPr>
        <w:t xml:space="preserve">370. Для повышения эффективности мониторинга и прогнозирования стихийных бедствий и катастроф будут: (i) запущены 4 центра управления в кризисных ситуациях (ЦУКС) в Чуйской, Ошской областях и городах Ош, Бишкек; (ii) созданы 9 центров Общегосударственной комплексной системы информирования и оповещения населения; (iii) запущена Единая государственная дежурно-диспетчерская служба в городах Бишкек, Ош - в 7 областных и 56 районных центрах.</w:t>
      </w:r>
    </w:p>
    <w:p>
      <w:pPr>
        <w:spacing w:after="120"/>
        <w:jc w:val="both"/>
      </w:pPr>
      <w:r>
        <w:rPr>
          <w:rFonts w:ascii="Arial" w:cs="Arial" w:eastAsia="Arial" w:hAnsi="Arial"/>
          <w:sz w:val="24"/>
          <w:szCs w:val="24"/>
        </w:rPr>
        <w:t xml:space="preserve">371. Для своевременного проведения превентивных, защитных мероприятий будут реализованы рекультивационные и реабилитационные мероприятия на хвостохранилищах и горных отвалах, содержащих радиоактивные и токсичные отходы. Будут качественно выполнены аварийно-восстановительные работы по капитальному строительству защитного характера. Будет проведена подготовка органов управления и сил Гражданской защиты, информирование населения и пропаганда знаний для населения в области Гражданской защиты.</w:t>
      </w:r>
    </w:p>
    <w:p>
      <w:pPr>
        <w:spacing w:after="120"/>
        <w:jc w:val="both"/>
      </w:pPr>
      <w:r>
        <w:rPr>
          <w:rFonts w:ascii="Arial" w:cs="Arial" w:eastAsia="Arial" w:hAnsi="Arial"/>
          <w:sz w:val="24"/>
          <w:szCs w:val="24"/>
        </w:rPr>
        <w:t xml:space="preserve">372. В рамках международного сотрудничества в области предупреждения и ликвидации ЧС будет проводиться работа по привлечению и реализации международных проектов в области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Потребность в реформировании государственного управления и местных органов самоуправления в отношении регионов обусловлена существующими экономическими и социальными проблемами регионов, основными причинами которых являются некачественное программирование развития на всех уровнях управления, отсутствие внутренней и внешней экономической интеграции, социально ориентированные местные бюджеты и неэффективная финансово-бюджетная система, построенная по распределительному принципу.</w:t>
      </w:r>
    </w:p>
    <w:p>
      <w:pPr>
        <w:spacing w:after="120"/>
        <w:jc w:val="both"/>
      </w:pPr>
      <w:r>
        <w:rPr>
          <w:rFonts w:ascii="Arial" w:cs="Arial" w:eastAsia="Arial" w:hAnsi="Arial"/>
          <w:sz w:val="24"/>
          <w:szCs w:val="24"/>
        </w:rPr>
        <w:t xml:space="preserve">374. Местные программы развития опираются, в основном, только на бюджетные ресурсы, в их разработку и реализацию не вовлечены партнерские ресурсы местных сообществ, частного бизнеса и некоммерческих организаций, отсутствует логическая связь между программой развития на местном уровне и бюджетом, как инструментом ее реализации.</w:t>
      </w:r>
    </w:p>
    <w:p>
      <w:pPr>
        <w:spacing w:after="120"/>
        <w:jc w:val="both"/>
      </w:pPr>
      <w:r>
        <w:rPr>
          <w:rFonts w:ascii="Arial" w:cs="Arial" w:eastAsia="Arial" w:hAnsi="Arial"/>
          <w:sz w:val="24"/>
          <w:szCs w:val="24"/>
        </w:rPr>
        <w:t xml:space="preserve">375. Как следствие неэффективной финансово-экономической политики сохраняется традиционное разделение регионов в социально-экономическом развитии: (i) развитые: город Бишкек, Иссык-Кульская и Чуйская области; (ii) средние: Джалал-Абадская область, город Ош; (iii) слабые: Баткенская, Таласская, Нарынская и Ошская области.</w:t>
      </w:r>
    </w:p>
    <w:p>
      <w:pPr>
        <w:spacing w:after="120"/>
        <w:jc w:val="both"/>
      </w:pPr>
      <w:r>
        <w:rPr>
          <w:rFonts w:ascii="Arial" w:cs="Arial" w:eastAsia="Arial" w:hAnsi="Arial"/>
          <w:sz w:val="24"/>
          <w:szCs w:val="24"/>
        </w:rPr>
        <w:t xml:space="preserve">376. Производство более половины ВВП страны формируется за счет гор. Бишкек, Иссык-Кульской и Чуйской областей. Наименьший вклад в производство ВВП приходится на Баткенскую область (3,21%), на Таласскую область (3,53%) и Нарынскую область (3,52%).</w:t>
      </w:r>
    </w:p>
    <w:p>
      <w:pPr>
        <w:spacing w:after="120"/>
        <w:jc w:val="both"/>
      </w:pPr>
      <w:r>
        <w:rPr>
          <w:rFonts w:ascii="Arial" w:cs="Arial" w:eastAsia="Arial" w:hAnsi="Arial"/>
          <w:sz w:val="24"/>
          <w:szCs w:val="24"/>
        </w:rPr>
        <w:t xml:space="preserve">377. Сохраняются значительные региональные различия в уровнях бедности. Обозначилось четыре региона, в которых уровень бедности по итогам 2010 года превысил 40%: Нарынская область - 53,5%; Джалал-Абадская область - 44,7%; Таласская область - 42,3% и Ошская область - 41,9%. В остальных регионах этот показатель сложился ниже 40%. Практически во всех регионах уровень бедности в сельской местности выше, чем в городской.</w:t>
      </w:r>
    </w:p>
    <w:p>
      <w:pPr>
        <w:spacing w:after="120"/>
        <w:jc w:val="both"/>
      </w:pPr>
      <w:r>
        <w:rPr>
          <w:rFonts w:ascii="Arial" w:cs="Arial" w:eastAsia="Arial" w:hAnsi="Arial"/>
          <w:sz w:val="24"/>
          <w:szCs w:val="24"/>
        </w:rPr>
        <w:t xml:space="preserve">378. Среднее соотношение среднемесячной заработной платы к прожиточному минимуму достигло наибольшего значения в городе Бишкек (2,36), и Иссык-Кульской области - (2,03). Наименьшее значение за период 2008-2010 годы этот показатель составил по Ошской области (0,99), то есть среднемесячная заработная плата по данному региону в среднем за период 2008-2010 годы была ниже прожиточного минимума.</w:t>
      </w:r>
    </w:p>
    <w:p>
      <w:pPr>
        <w:spacing w:after="120"/>
        <w:jc w:val="both"/>
      </w:pPr>
      <w:r>
        <w:rPr>
          <w:rFonts w:ascii="Arial" w:cs="Arial" w:eastAsia="Arial" w:hAnsi="Arial"/>
          <w:sz w:val="24"/>
          <w:szCs w:val="24"/>
        </w:rPr>
        <w:t xml:space="preserve">379. Существующая разница между основными макроэкономическими показателями развития регионов приводит к миграции трудоспособного населения из отстающих регионов в более успешные. Основным фактором, влияющим на внутреннюю мобильность населения, является существование диспропорций в экономическом развитии регионов, в соотношении спроса и предложения на рабочую силу и, соответственно, региональная дифференциация доходов населения.</w:t>
      </w:r>
    </w:p>
    <w:p>
      <w:pPr>
        <w:spacing w:after="120"/>
        <w:jc w:val="both"/>
      </w:pPr>
      <w:r>
        <w:rPr>
          <w:rFonts w:ascii="Arial" w:cs="Arial" w:eastAsia="Arial" w:hAnsi="Arial"/>
          <w:sz w:val="24"/>
          <w:szCs w:val="24"/>
        </w:rPr>
        <w:t xml:space="preserve">380. В Джалал-Абадской, Иссык-Кульской и Нарынской областях потребность в трудовых ресурсах в 5-10 раз ниже, чем в гор. Бишкек и Чуйской областях. Сегодня гор. Бишкек и Чуйская область стали зонами наибольшего притока мигрантов из регионов страны. Основными поставщиками внутренних мигрантов в гор. Бишкек являются Баткенская область - 25,7%, Нарынская область - 19,1%, Ошская и Джалал-Абадская области - 15,6% и 15,0%, соответственно.</w:t>
      </w:r>
    </w:p>
    <w:p>
      <w:pPr>
        <w:spacing w:after="120"/>
        <w:jc w:val="both"/>
      </w:pPr>
      <w:r>
        <w:rPr>
          <w:rFonts w:ascii="Arial" w:cs="Arial" w:eastAsia="Arial" w:hAnsi="Arial"/>
          <w:sz w:val="24"/>
          <w:szCs w:val="24"/>
        </w:rPr>
        <w:t xml:space="preserve">381. Вместе с тем, сохраняется внешняя динамика оттока населения. Основной отток населения приходится на Чуйскую область и гор. Бишкек. Это объясняется тем, что как гор. Бишкек, так и Чуйская область являются "транзитными территориями". Ошская область по сравнению с остальными регионами является лидирующей по "поставкам" мигрантов в Российскую Федерацию: 36,9% к общему оттоку населения из Кыргызстана в РФ и 72,8% к оттоку из области.</w:t>
      </w:r>
    </w:p>
    <w:p>
      <w:pPr>
        <w:spacing w:after="120"/>
        <w:jc w:val="both"/>
      </w:pPr>
      <w:r>
        <w:rPr>
          <w:rFonts w:ascii="Arial" w:cs="Arial" w:eastAsia="Arial" w:hAnsi="Arial"/>
          <w:sz w:val="24"/>
          <w:szCs w:val="24"/>
        </w:rPr>
        <w:t xml:space="preserve">382. Следствием оттока населения для регионов становится дефицит квалифицированных трудовых ресурсов и снижение привлекательности региона для проживания, что является неблагоприятным "сигналом", требующим безотлагательного реагирования на всех уровнях государственного управления.</w:t>
      </w:r>
    </w:p>
    <w:p>
      <w:pPr>
        <w:spacing w:after="120"/>
        <w:jc w:val="both"/>
      </w:pPr>
      <w:r>
        <w:rPr>
          <w:rFonts w:ascii="Arial" w:cs="Arial" w:eastAsia="Arial" w:hAnsi="Arial"/>
          <w:sz w:val="24"/>
          <w:szCs w:val="24"/>
        </w:rPr>
        <w:t xml:space="preserve">383. Для решения обозначенных проблем усилия Правительства будут направлены на создание условий для качественных изменений в экономике и социальном развитии регионов через административно-территориальную реформу, реформу государственного управления и местных органов самоуправления. Содействуя децентрализации государственного управления, местные сообщества предполагается наделить еще большими полномочиями, тем самым более полно мобилизуя население в процесс борьбы с бедностью.</w:t>
      </w:r>
    </w:p>
    <w:p>
      <w:pPr>
        <w:spacing w:after="120"/>
        <w:jc w:val="both"/>
      </w:pPr>
      <w:r>
        <w:rPr>
          <w:rFonts w:ascii="Arial" w:cs="Arial" w:eastAsia="Arial" w:hAnsi="Arial"/>
          <w:sz w:val="24"/>
          <w:szCs w:val="24"/>
        </w:rPr>
        <w:t xml:space="preserve">384. К 2014 году Кыргызская Республика должна стать страной, в которой будут созданы условия для умеренного, но стабильного роста показателей региональной экономики и повышения уровня жизни населения регионов. Будут созданы условия: (i) для сокращения неравномерности экономического развития регионов; (ii) для роста потенциала местных экономик и их инвестиционной привлекательности; (iii) для снижения оттока населения из сельских территорий; и (iv) формирования инфраструктуры развития и частно-государственного партнерства на местном и региональном уровнях.</w:t>
      </w:r>
    </w:p>
    <w:p>
      <w:pPr>
        <w:spacing w:after="120"/>
        <w:jc w:val="both"/>
      </w:pPr>
      <w:r>
        <w:rPr>
          <w:rFonts w:ascii="Arial" w:cs="Arial" w:eastAsia="Arial" w:hAnsi="Arial"/>
          <w:sz w:val="24"/>
          <w:szCs w:val="24"/>
        </w:rPr>
        <w:t xml:space="preserve">385. Для комплексного развития регионов будет разработана новая Концепция регионального развития.</w:t>
      </w:r>
    </w:p>
    <w:p>
      <w:pPr>
        <w:spacing w:after="120"/>
        <w:jc w:val="both"/>
      </w:pPr>
      <w:r>
        <w:rPr>
          <w:rFonts w:ascii="Arial" w:cs="Arial" w:eastAsia="Arial" w:hAnsi="Arial"/>
          <w:sz w:val="24"/>
          <w:szCs w:val="24"/>
        </w:rPr>
        <w:t xml:space="preserve">386. Развитие регионов предполагает формирование новой экономической матрицы Кыргызстана, состоящей из экономических округов. В рамках этого процесса намечено решить следующие задачи: (i) обеспечить максимальное использование производственного потенциала регионов; (ii) разработать республиканские и местные программы и стратегии развития с учетом комплексного планирования поддержки "точек роста", необходимости развития инфраструктуры региона, в том числе централизованного водоснабжения и водоотведения, межрегиональной экономической интеграции; (iii) привлечь ключевых представителей местных сообществ, частного бизнеса и некоммерческие организации к разработке и реализации программ развития регионов; (iv) разработать систему государственно-частного партнерства местной власти и бизнеса; (v) осуществлять разработку местных бюджетов с использованием программного бюджетирования, исходя из региональных социально-экономических программ; (vi) усовершенствовать систему формирования бюджетных дотаций; (vii) ориентировать вложение местных бюджетов и местного частного капитала в восстановление и создание инфраструктуры; (viii) укрепить потенциал органов государственной власти в регионах и органов местного самоуправления в разработке стратегий, инвестиционных инициатив и проектов; (ix) обеспечить повышение качества управления региональными и местными органами власти; (х) разработать государственную партнерскую программу координации деятельности международных и отечественных неправительственных организаций в регионах, направленную на достижение эффекта от совместных усилий органов власти, программ и проектов гражданского сектора и донорских организаций.</w:t>
      </w:r>
    </w:p>
    <w:p>
      <w:pPr>
        <w:spacing w:after="120"/>
        <w:jc w:val="both"/>
      </w:pPr>
      <w:r>
        <w:rPr>
          <w:rFonts w:ascii="Arial" w:cs="Arial" w:eastAsia="Arial" w:hAnsi="Arial"/>
          <w:sz w:val="24"/>
          <w:szCs w:val="24"/>
        </w:rPr>
        <w:t xml:space="preserve">387. Развитие местного самоуправления. Для создания устойчивой системы местного самоуправления предусмотрены меры: (i) провести инвентаризацию нормативных правовых актов на предмет их соответствия Конституции Кыргызской Республики и Закону Кыргызской Республики "О местном самоуправлении"; (ii) разработать проекты законов о внесении изменений в отраслевые законы о порядке делегирования государственных полномочий органам местного самоуправления; (iii) разработать правовые акты по административной и гражданской ответственности должностных лиц за качество предоставляемых муниципальных услуг; (iv) внести изменения в нормативно-правовые акты в сфере межбюджетных отношений, направленные на усиление местного потенциала; (v) внести изменения в Закон Кыргызской Республики "О неналоговых платежах" по вопросу о местных сборах; (vi) разработать стандарты и регламент по муниципальным услугам населению; (vii) разработать и запустить систему мониторинга и оценки качества предоставляемых услуг (управленческих, социальных, инфраструктурных, информационных, и т.д.); (viii) укрепить материальные и финансовые базы органов местного самоуправления; (ix) разработать механизмы привлечения частного бизнеса и общественного сектора к оказанию муниципальных услуг; (х) создать многофункциональные центры в районах по оказанию услуг населению; (xi) разработать систему подготовки и переподготовки муниципальных служащих; (xii) создать общественные наблюдательные советы при местном самоуправлении.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388. В результате реализации Программы будут достигнуты следующие основные результаты: (i) ускорение роста ВВП с 5,7% в 2011 году до 7,5% в среднем за год; (ii) снижение уровня бедности в стране с 33,7% в 2010 году до 28% 2014 году; (iii) снижение дефицита бюджета с 5% к ВВП в 2011 году до 2,6% к ВВП в 2014 году; (iv) прогнозируется, что уровень инфляции в 2012-2014 годы не превысит 10%; (v) благодаря крупным национальным проектам будут привлечены иностранные инвестиции; (vi) снижение уровня вмешательства государства в регулирование бизнеса, сведение к минимуму системы проведения проверок, улучшение взаимодействия бизнеса и власти; (vii) партнерство и участие гражданского сектора в принятии важнейших политических решений по вопросам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389. Для выполнения данной Программы необходима тесная и согласованная работа Президента Кыргызской Республики, Правительства и Жогорку Кенеша Кыргызской Республики при конструктивном взаимодействии с гражданским сектором. От слаженности их работы будет зависеть устойчивость развития страны.</w:t>
      </w:r>
    </w:p>
    <w:p>
      <w:pPr>
        <w:spacing w:after="120"/>
        <w:jc w:val="both"/>
      </w:pPr>
      <w:r>
        <w:rPr>
          <w:rFonts w:ascii="Arial" w:cs="Arial" w:eastAsia="Arial" w:hAnsi="Arial"/>
          <w:sz w:val="24"/>
          <w:szCs w:val="24"/>
        </w:rPr>
        <w:t xml:space="preserve">390. Очевидно, что реализация Программы невозможна без доверия народа к власти и поддержки обществом планов Правительства. Мировая практика показывает, что прогресс в процветающих ныне странах был воплощен благодаря наличию сильной политической воли и максимальному доверию к власти со стороны народа.</w:t>
      </w:r>
    </w:p>
    <w:p>
      <w:pPr>
        <w:spacing w:after="120"/>
        <w:jc w:val="both"/>
      </w:pPr>
      <w:r>
        <w:rPr>
          <w:rFonts w:ascii="Arial" w:cs="Arial" w:eastAsia="Arial" w:hAnsi="Arial"/>
          <w:sz w:val="24"/>
          <w:szCs w:val="24"/>
        </w:rPr>
        <w:t xml:space="preserve">391.3а реализацию настоящей Программы ответственность перед пародом и перед лицом депутатов несет Правительство. Предыдущие власти Кыргызстана не выносили документы развития страны на утверждение Парламента и утверждали их своими указами. Программа развития страны впервые вносится на рассмотрение Жогорку Кенеша Кыргызской Республики. Законодательное обеспечение предлагаемых реформ - за Жогорку Кенешем Кыргызской Республики, и в случае одобрения, - уважаемые депутаты станут их соавторами.</w:t>
      </w:r>
    </w:p>
    <w:p>
      <w:pPr>
        <w:spacing w:after="120"/>
        <w:jc w:val="both"/>
      </w:pPr>
      <w:r>
        <w:rPr>
          <w:rFonts w:ascii="Arial" w:cs="Arial" w:eastAsia="Arial" w:hAnsi="Arial"/>
          <w:sz w:val="24"/>
          <w:szCs w:val="24"/>
        </w:rPr>
        <w:t xml:space="preserve">392. Значительно выросла роль неправительственных организаций (НПО) в общественной жизни Кыргызстана. Велик вклад гражданского общества в смену власти, принятие новой Конституции и переход к парламентской форме правления. Для усиления демократических процессов происходит расширение форм взаимодействия власти с гражданским обществом, и уже сделаны первые шаги в направлении реального участия гражданского общества в принятии стратегических решений. Гражданское общество будет активно вовлечено в процесс обсуждения и мониторинга реализации настоящей Программы.</w:t>
      </w:r>
    </w:p>
    <w:p>
      <w:pPr>
        <w:spacing w:after="120"/>
        <w:jc w:val="both"/>
      </w:pPr>
      <w:r>
        <w:rPr>
          <w:rFonts w:ascii="Arial" w:cs="Arial" w:eastAsia="Arial" w:hAnsi="Arial"/>
          <w:sz w:val="24"/>
          <w:szCs w:val="24"/>
        </w:rPr>
        <w:t xml:space="preserve">Процесс реализации. Программа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393. Решения о корректировке Программы будут приниматься на основе данных мониторинга и оценки результатов реализации ежегодных планов трехлетней Программы.</w:t>
      </w:r>
    </w:p>
    <w:p>
      <w:pPr>
        <w:spacing w:after="120"/>
        <w:jc w:val="both"/>
      </w:pPr>
      <w:r>
        <w:rPr>
          <w:rFonts w:ascii="Arial" w:cs="Arial" w:eastAsia="Arial" w:hAnsi="Arial"/>
          <w:sz w:val="24"/>
          <w:szCs w:val="24"/>
        </w:rPr>
        <w:t xml:space="preserve">394. Управление процессом реализации Программы предусматривает: (i) систематический анализ и оценку реализации ежегодных планов для принятия политических решений относительно прогресса, достигнутого в выполнении Программы; (ii) обоснованность необходимых затрат на реализацию проектов и секторальных программ; (iii) определение возможных источников финансирования, стимулирование инвестиционных проектов; (iv) создание условий, необходимых для реализации секторальных программ и проектов; (v) создание необходимой регулятивно-управленческой среды для успешной реализации Программы; (vi)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395. Согласованность действий всех заинтересованных сторон по реализации ежегодных планов Программы будет обеспечиваться под общей координацией Премьер-министра Кыргызской Республики.</w:t>
      </w:r>
    </w:p>
    <w:p>
      <w:pPr>
        <w:spacing w:after="120"/>
        <w:jc w:val="both"/>
      </w:pPr>
      <w:r>
        <w:rPr>
          <w:rFonts w:ascii="Arial" w:cs="Arial" w:eastAsia="Arial" w:hAnsi="Arial"/>
          <w:sz w:val="24"/>
          <w:szCs w:val="24"/>
        </w:rPr>
        <w:t xml:space="preserve">396. Основными задачами органов исполнительной власти будут: (i) мобилизация необходимых бюджетных средств; (ii) координация привлечения заимствованных финансов; (iii) согласование действий центральных, отраслевых и региональных органов исполнительной власти; (iv) создание институциональных условий для частного сектора и гражданского общества по участию в реализации Программы; (v)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Мониторинг и оценка. Регулярный мониторинг и оценка выполнения секторальных программ и проектов Программы станут эффективным инструментом отслеживания прогресса в ее реализации, который позволит: (i) принимать упредительные решения через внесение корректив в процесс продвижения и (ii) производить оценку их воздействия на общее развитие страны.</w:t>
      </w:r>
    </w:p>
    <w:p>
      <w:pPr>
        <w:spacing w:after="120"/>
        <w:jc w:val="both"/>
      </w:pPr>
      <w:r>
        <w:rPr>
          <w:rFonts w:ascii="Arial" w:cs="Arial" w:eastAsia="Arial" w:hAnsi="Arial"/>
          <w:sz w:val="24"/>
          <w:szCs w:val="24"/>
        </w:rPr>
        <w:t xml:space="preserve">397. 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2012-2014 годы, в рамках настоящей Программы.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398. Комплекс индикаторов мониторинга и оценки позволит отследить и измерить: (i) промежуточные результаты прогресса выполнения Программы с учетом вложенных ресурсов; (ii) конечные результаты через индикаторы выполнения поставленных целей и задач; (iii)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399. 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политические решения по выбору альтернативных возможностей для последующих шагов в реализации трехлетней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формировании прогноза бюджета на 2013-2014 годы представлен более осторожный вариант с учетом возможных корректировок исполнения заложенных проектов развития экономики.</w:t>
      </w:r>
    </w:p>
    <w:p>
      <w:pPr>
        <w:spacing w:after="120"/>
        <w:jc w:val="both"/>
      </w:pPr>
      <w:r>
        <w:rPr>
          <w:rFonts w:ascii="Arial" w:cs="Arial" w:eastAsia="Arial" w:hAnsi="Arial"/>
          <w:sz w:val="24"/>
          <w:szCs w:val="24"/>
        </w:rPr>
        <w:t xml:space="preserve">(2) Уровень потребления самыми бедными слоями населения, в процентах от уровня потребления, соответствующего черте бедности для страны.</w:t>
      </w:r>
    </w:p>
    <w:p>
      <w:pPr>
        <w:spacing w:after="120"/>
        <w:jc w:val="both"/>
      </w:pPr>
      <w:r>
        <w:rPr>
          <w:rFonts w:ascii="Arial" w:cs="Arial" w:eastAsia="Arial" w:hAnsi="Arial"/>
          <w:sz w:val="24"/>
          <w:szCs w:val="24"/>
        </w:rPr>
        <w:t xml:space="preserve">(3) МАГАТЭ - Международное агентство по атомной энергии.</w:t>
      </w:r>
    </w:p>
    <w:p>
      <w:pPr>
        <w:spacing w:after="120"/>
        <w:jc w:val="both"/>
      </w:pPr>
      <w:r>
        <w:rPr>
          <w:rFonts w:ascii="Arial" w:cs="Arial" w:eastAsia="Arial" w:hAnsi="Arial"/>
          <w:sz w:val="24"/>
          <w:szCs w:val="24"/>
        </w:rPr>
        <w:t xml:space="preserve">(4) ЕЭК ООН - Европейская Экономическая Комиссия ООН.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Среднесрочной программы развития</w:t>
      </w:r>
    </w:p>
    <w:p>
      <w:pPr>
        <w:spacing w:after="120"/>
        <w:jc w:val="both"/>
      </w:pPr>
      <w:r>
        <w:rPr>
          <w:rFonts w:ascii="Arial" w:cs="Arial" w:eastAsia="Arial" w:hAnsi="Arial"/>
          <w:sz w:val="24"/>
          <w:szCs w:val="24"/>
        </w:rPr>
        <w:t xml:space="preserve">Кыргызской Республики на 2012-2014 годы</w:t>
      </w:r>
    </w:p>
    <w:p>
      <w:pPr>
        <w:spacing w:after="120"/>
        <w:jc w:val="both"/>
      </w:pPr>
      <w:r>
        <w:rPr>
          <w:rFonts w:ascii="Arial" w:cs="Arial" w:eastAsia="Arial" w:hAnsi="Arial"/>
          <w:sz w:val="24"/>
          <w:szCs w:val="24"/>
        </w:rPr>
        <w:t xml:space="preserve">с учетом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w_gnszfaaperdcrd4pm" Type="http://schemas.openxmlformats.org/officeDocument/2006/relationships/hyperlink" Target="http://kodeks.duckdns.org/document/93178" TargetMode="External"/><Relationship Id="rId1rt0e_-hoa_04lv8vvfek" Type="http://schemas.openxmlformats.org/officeDocument/2006/relationships/hyperlink" Target="http://kodeks.duckdns.org/document/202913" TargetMode="External"/><Relationship Id="rIdxfegkci8mbblxa1c2h6qd" Type="http://schemas.openxmlformats.org/officeDocument/2006/relationships/hyperlink" Target="http://kodeks.duckdns.org/document/95246" TargetMode="External"/><Relationship Id="rIdsd0ljtq8x_zzrnjxtk1sa" Type="http://schemas.openxmlformats.org/officeDocument/2006/relationships/hyperlink" Target="http://kodeks.duckdns.org/document/95246" TargetMode="External"/><Relationship Id="rIdqq1q_0hv1ymjx24zmppjm" Type="http://schemas.openxmlformats.org/officeDocument/2006/relationships/hyperlink" Target="http://kodeks.duckdns.org/document/95379#p" TargetMode="External"/><Relationship Id="rId1hmoyxct5qh-o034yllax" Type="http://schemas.openxmlformats.org/officeDocument/2006/relationships/hyperlink" Target="http://kodeks.duckdns.org/document/95379#p1" TargetMode="External"/><Relationship Id="rIdwxgxogmcg3cf4z3hp3noh" Type="http://schemas.openxmlformats.org/officeDocument/2006/relationships/hyperlink" Target="http://kodeks.duckdns.org/document/95379#p" TargetMode="External"/><Relationship Id="rId8k3t9csbqzgtjos_qpluk" Type="http://schemas.openxmlformats.org/officeDocument/2006/relationships/hyperlink" Target="http://kodeks.duckdns.org/document/9537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2026-09-23T07:04:53.673Z</dcterms:created>
  <dcterms:modified xsi:type="dcterms:W3CDTF">2026-09-23T07:04:53.673Z</dcterms:modified>
</cp:coreProperties>
</file>

<file path=docProps/custom.xml><?xml version="1.0" encoding="utf-8"?>
<Properties xmlns="http://schemas.openxmlformats.org/officeDocument/2006/custom-properties" xmlns:vt="http://schemas.openxmlformats.org/officeDocument/2006/docPropsVTypes"/>
</file>