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bzqwgk3wwhy1zimtow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gv27jtrc30dlvnjdung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января 2014 года № 12</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обеспечения безопасности свидетелей, потерпевших и иных участников уголовного
  судопроизводства на 2014-2016 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Становление Кыргызской Республики как правового государства потребовало создания и развития системы национального законодательства. Среди закрепленных </w:t>
      </w:r>
      <w:hyperlink w:history="1" r:id="rIdphrojtxfmw5afhv3lj9d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 граждан, гарантированных государством, в настоящее время существенное значение приобретает защита участников уголовного процесса, именуемая в рамках уголовно-процессуальной доктрины государственной защитой. Защита в уголовном процессе - это деятельность государства, обеспечивающая безоговорочную гарантию безопасности, справедливости и законности в обществе. Одним из важнейших факторов, влияющих на достоверность показаний, является государственная гарантия неприкосновенности личности, вовлеченной в общественные отношения уголовного судопроизводства.</w:t>
      </w:r>
    </w:p>
    <w:p>
      <w:pPr>
        <w:spacing w:after="120"/>
        <w:jc w:val="both"/>
      </w:pPr>
      <w:r>
        <w:rPr>
          <w:rFonts w:ascii="Arial" w:cs="Arial" w:eastAsia="Arial" w:hAnsi="Arial"/>
          <w:sz w:val="24"/>
          <w:szCs w:val="24"/>
        </w:rPr>
        <w:t xml:space="preserve">Международная практика борьбы с преступностью показывает, что наибольших успехов в этом направлении добиваются государства, в которых создана правовая база защиты свидетелей от оказания давления со стороны членов организованных преступных формирований, в целях противодействия расследованию уголовных дел.</w:t>
      </w:r>
    </w:p>
    <w:p>
      <w:pPr>
        <w:spacing w:after="120"/>
        <w:jc w:val="both"/>
      </w:pPr>
      <w:r>
        <w:rPr>
          <w:rFonts w:ascii="Arial" w:cs="Arial" w:eastAsia="Arial" w:hAnsi="Arial"/>
          <w:sz w:val="24"/>
          <w:szCs w:val="24"/>
        </w:rPr>
        <w:t xml:space="preserve">1.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Принятый в 1999 году Уголовно-процессуальный </w:t>
      </w:r>
      <w:hyperlink w:history="1" r:id="rIdp55ltx4yn7njkanoldz_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детализирует вопросы защиты лиц, содействующих правосудию: в нем в значительной степени расширен статус потерпевшего, повышен уровень обеспечения прав личности в уголовном судопроизводстве, но, к сожалению, он не разрешил всех существующих проблем, касающихся защиты участников уголовного судопроизводства.</w:t>
      </w:r>
    </w:p>
    <w:p>
      <w:pPr>
        <w:spacing w:after="120"/>
        <w:jc w:val="both"/>
      </w:pPr>
      <w:r>
        <w:rPr>
          <w:rFonts w:ascii="Arial" w:cs="Arial" w:eastAsia="Arial" w:hAnsi="Arial"/>
          <w:sz w:val="24"/>
          <w:szCs w:val="24"/>
        </w:rPr>
        <w:t xml:space="preserve">С принятием </w:t>
      </w:r>
      <w:hyperlink w:history="1" r:id="rIdsya1mfy0pweidiems2t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вступившего в силу с 30 июня 2006 года, впервые были закреплены: понятие государственной защиты, меры государственной защиты и основания их применения, а также круг органов, обеспечивающих реализацию государственной защиты участников уголовного судопроизводства. Однако, многие проблемы остались нерешенными. Остается нерешенным в должной мере вопрос обеспечения безопасности потерпевших, свидетелей и иных участников уголовного судопроизводства. Необходима разработка нового для отечественного законодательства комплексного подхода к организации эффективной системы защиты участников уголовного судопроизводства, при которой граждане получат государственную гарантию по обеспечению их безопасности. Данная государственная гарантия является необходимым условием для осуществления уголовного правосудия на современном этапе, так как имеющиеся традиционные уголовно-правовые и уголовно-процессуальные гарантии безопасности лиц, содействующих правосудию, явно недостаточны.</w:t>
      </w:r>
    </w:p>
    <w:p>
      <w:pPr>
        <w:spacing w:after="120"/>
        <w:jc w:val="both"/>
      </w:pPr>
      <w:r>
        <w:rPr>
          <w:rFonts w:ascii="Arial" w:cs="Arial" w:eastAsia="Arial" w:hAnsi="Arial"/>
          <w:sz w:val="24"/>
          <w:szCs w:val="24"/>
        </w:rPr>
        <w:t xml:space="preserve">В связи с этим приходится констатировать, что вопросы обеспечения безопасности участников уголовного судопроизводства разработаны недостаточно, а правоохранительные органы остро нуждаются в четких законодательных ориентирах на практическое осуществление мер по защите свидетелей, потерпевших и иных лиц, содействующих правосудию.</w:t>
      </w:r>
    </w:p>
    <w:p>
      <w:pPr>
        <w:spacing w:after="120"/>
        <w:jc w:val="both"/>
      </w:pPr>
      <w:r>
        <w:rPr>
          <w:rFonts w:ascii="Arial" w:cs="Arial" w:eastAsia="Arial" w:hAnsi="Arial"/>
          <w:sz w:val="24"/>
          <w:szCs w:val="24"/>
        </w:rPr>
        <w:t xml:space="preserve">Таким образом, проблема обеспечения безопасности участников уголовного судопроизводства сегодня, как никогда, актуальна, как в аспекте теоретическом, так и в плане практическом.</w:t>
      </w:r>
    </w:p>
    <w:p>
      <w:pPr>
        <w:spacing w:after="120"/>
        <w:jc w:val="both"/>
      </w:pPr>
      <w:r>
        <w:rPr>
          <w:rFonts w:ascii="Arial" w:cs="Arial" w:eastAsia="Arial" w:hAnsi="Arial"/>
          <w:sz w:val="24"/>
          <w:szCs w:val="24"/>
        </w:rPr>
        <w:t xml:space="preserve">Поэтому все закрепленные в Уголовно-процессуальном </w:t>
      </w:r>
      <w:hyperlink w:history="1" r:id="rIdj0p4utx5pibgcmjilvrp3">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и </w:t>
      </w:r>
      <w:hyperlink w:history="1" r:id="rIddy5ygbj-nfxd5gagmywn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положения по обеспечению безопасности участников процесса требуют разработки предписаний, описывающих порядок и последовательность действий правоприменителей для достижения результата решения установленных задач, совершенствования этих норм и определения новых подходов к решению существующих проблем.</w:t>
      </w:r>
    </w:p>
    <w:p>
      <w:pPr>
        <w:spacing w:after="120"/>
        <w:jc w:val="both"/>
      </w:pPr>
      <w:r>
        <w:rPr>
          <w:rFonts w:ascii="Arial" w:cs="Arial" w:eastAsia="Arial" w:hAnsi="Arial"/>
          <w:sz w:val="24"/>
          <w:szCs w:val="24"/>
        </w:rPr>
        <w:t xml:space="preserve">Данные предписания также актуальны и в условиях бескомпромиссного противодействия преступлениям, совершенным членами организованной преступной группы или сообщества (далее - ОПГ) на территории Кыргызской Республики, где организованная преступность приобретает признаки угрозы национальной безопасности. Эффективность производства по уголовным делам в значительной мере зависит от создания единой системы гарантий обеспечения безопасности лиц, содействующих правосудию, защиты их жизни, здоровья и имущества от посягательств заинтересованных лиц.</w:t>
      </w:r>
    </w:p>
    <w:p>
      <w:pPr>
        <w:spacing w:after="120"/>
        <w:jc w:val="both"/>
      </w:pPr>
      <w:r>
        <w:rPr>
          <w:rFonts w:ascii="Arial" w:cs="Arial" w:eastAsia="Arial" w:hAnsi="Arial"/>
          <w:sz w:val="24"/>
          <w:szCs w:val="24"/>
        </w:rPr>
        <w:t xml:space="preserve">В соответствии со статьей 29 </w:t>
      </w:r>
      <w:hyperlink w:history="1" r:id="rId5smkboadyhi1qirgsau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распоряжением Правительства Кыргызской Республики от 8 мая 2013 года № 174-р создана рабочая группа по разработке настоящей Государственной программы обеспечения безопасности свидетелей, потерпевших и иных участников уголовного судопроизводства на 2014-2016 годы (далее - Государственная программа).</w:t>
      </w:r>
    </w:p>
    <w:p>
      <w:pPr>
        <w:spacing w:after="120"/>
        <w:jc w:val="both"/>
      </w:pPr>
      <w:r>
        <w:rPr>
          <w:rFonts w:ascii="Arial" w:cs="Arial" w:eastAsia="Arial" w:hAnsi="Arial"/>
          <w:sz w:val="24"/>
          <w:szCs w:val="24"/>
        </w:rPr>
        <w:t xml:space="preserve">При разработке настоящей Государственной программы учитывался опыт правоприменительной деятельности правоохранительных органов при оперативном сопровождении участников судопроизводства по уголовным делам, а также зарубежный опыт планирования и проведения мероприятий в этой области.</w:t>
      </w:r>
    </w:p>
    <w:p>
      <w:pPr>
        <w:spacing w:after="120"/>
        <w:jc w:val="both"/>
      </w:pPr>
      <w:r>
        <w:rPr>
          <w:rFonts w:ascii="Arial" w:cs="Arial" w:eastAsia="Arial" w:hAnsi="Arial"/>
          <w:sz w:val="24"/>
          <w:szCs w:val="24"/>
        </w:rPr>
        <w:t xml:space="preserve">Государственная программа направлена на осуществление определенных законом мер по обеспечению безопасности и социальной поддержки защищаемых лиц,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pPr>
        <w:spacing w:after="120"/>
        <w:jc w:val="both"/>
      </w:pPr>
      <w:r>
        <w:rPr>
          <w:rFonts w:ascii="Arial" w:cs="Arial" w:eastAsia="Arial" w:hAnsi="Arial"/>
          <w:sz w:val="24"/>
          <w:szCs w:val="24"/>
        </w:rPr>
        <w:t xml:space="preserve">Реализация Государственной программы обеспечит получение необходимых статистических данных, а также накопление опыта применения той или иной меры государственной защиты, а также одновременного применения нескольких мер в отношении одного защищаемого лица.</w:t>
      </w:r>
    </w:p>
    <w:p>
      <w:pPr>
        <w:spacing w:after="120"/>
        <w:jc w:val="both"/>
      </w:pPr>
      <w:r>
        <w:rPr>
          <w:rFonts w:ascii="Arial" w:cs="Arial" w:eastAsia="Arial" w:hAnsi="Arial"/>
          <w:sz w:val="24"/>
          <w:szCs w:val="24"/>
        </w:rPr>
        <w:t xml:space="preserve">Результаты реализации Государственной программы будут использованы при подготовке предложений по совершенствованию мер государственной защиты, повышению эффективности деятельности органов государственной власти в сфере обеспечения безопасности защищаемых лиц, а также разработке показателей эффективности реализации мер государственной защиты, методики и критериев их оценки.</w:t>
      </w:r>
    </w:p>
    <w:p>
      <w:pPr>
        <w:spacing w:after="120"/>
        <w:jc w:val="both"/>
      </w:pPr>
      <w:r>
        <w:rPr>
          <w:rFonts w:ascii="Arial" w:cs="Arial" w:eastAsia="Arial" w:hAnsi="Arial"/>
          <w:sz w:val="24"/>
          <w:szCs w:val="24"/>
        </w:rPr>
        <w:t xml:space="preserve">Следует отметить, что от дачи показаний очевидца об обстоятельствах дела, свидетелем которых он стал, зависит установление истины при осуществлении правосудия, его объективное, всестороннее и полное рассмотрение. Очевидно, что процедура процессуального оформления, участие в допросах - занятие как минимум обременительное, а как максимум - опасное. Противодействие преступности и построение правового государства требуют настойчивости, смелости и терпения от граждан Кыргызской Республики. Проблема "декларативного" правового обеспечения безопасности свидетелей, потерпевших и других лиц, содействующих правосудию, стали основной причиной отказа или изменений показаний со стороны свидетелей, как при производстве следствия, так и в суде.</w:t>
      </w:r>
    </w:p>
    <w:p>
      <w:pPr>
        <w:spacing w:after="120"/>
        <w:jc w:val="both"/>
      </w:pPr>
      <w:r>
        <w:rPr>
          <w:rFonts w:ascii="Arial" w:cs="Arial" w:eastAsia="Arial" w:hAnsi="Arial"/>
          <w:sz w:val="24"/>
          <w:szCs w:val="24"/>
        </w:rPr>
        <w:t xml:space="preserve">Криминогенная ситуация в республике характеризуется проявлением новых форм и видов преступной деятельности, особенно организованной. Организованная преступность как сложное антисоциальное явление усиливает свои позиции через монополизацию многих видов противоправной деятельности, активно внедряется в отрасли экономики, а порой стремится получить доступ к властным структурам.</w:t>
      </w:r>
    </w:p>
    <w:p>
      <w:pPr>
        <w:spacing w:after="120"/>
        <w:jc w:val="both"/>
      </w:pPr>
      <w:r>
        <w:rPr>
          <w:rFonts w:ascii="Arial" w:cs="Arial" w:eastAsia="Arial" w:hAnsi="Arial"/>
          <w:sz w:val="24"/>
          <w:szCs w:val="24"/>
        </w:rPr>
        <w:t xml:space="preserve">Общее число преступлений, регистрируемых правоохранительными органами республики в период с 2002 по 2012 годы, ежегодно превышало 30 тысяч. При этом количество убийств и покушений на убийство с признаками заказного характера и криминальных разборок (за 11 лет) составило 65, из них 56 убийств и 9 покушений на убийство.</w:t>
      </w:r>
    </w:p>
    <w:p>
      <w:pPr>
        <w:spacing w:after="120"/>
        <w:jc w:val="both"/>
      </w:pPr>
      <w:r>
        <w:rPr>
          <w:rFonts w:ascii="Arial" w:cs="Arial" w:eastAsia="Arial" w:hAnsi="Arial"/>
          <w:sz w:val="24"/>
          <w:szCs w:val="24"/>
        </w:rPr>
        <w:t xml:space="preserve">Участники уголовного судопроизводства все чаще становятся объектами мести или угроз со стороны преступников. В результате этого свидетели, потерпевшие и иные участники уголовного судопроизводства отказываются на следствии и в суде от своих первоначальных показаний, а виновные лица уклоняются от ответственности.</w:t>
      </w:r>
    </w:p>
    <w:p>
      <w:pPr>
        <w:spacing w:after="120"/>
        <w:jc w:val="both"/>
      </w:pPr>
      <w:r>
        <w:rPr>
          <w:rFonts w:ascii="Arial" w:cs="Arial" w:eastAsia="Arial" w:hAnsi="Arial"/>
          <w:sz w:val="24"/>
          <w:szCs w:val="24"/>
        </w:rPr>
        <w:t xml:space="preserve">В этих условиях особую актуальность приобретает государственная защита участников уголовного судопроизводства от физического и психологического насилия.</w:t>
      </w:r>
    </w:p>
    <w:p>
      <w:pPr>
        <w:spacing w:after="120"/>
        <w:jc w:val="both"/>
      </w:pPr>
      <w:r>
        <w:rPr>
          <w:rFonts w:ascii="Arial" w:cs="Arial" w:eastAsia="Arial" w:hAnsi="Arial"/>
          <w:sz w:val="24"/>
          <w:szCs w:val="24"/>
        </w:rPr>
        <w:t xml:space="preserve">Как показывает практика, низкое доверие милиции и отсутствие надлежащей защиты участников уголовного процесса создают ряд проблем, препятствующих обеспечению эффективной деятельности следователей при расследовании и раскрытии преступлений, особенно преступлений, совершенных ОПГ.</w:t>
      </w:r>
    </w:p>
    <w:p>
      <w:pPr>
        <w:spacing w:after="120"/>
        <w:jc w:val="both"/>
      </w:pPr>
      <w:r>
        <w:rPr>
          <w:rFonts w:ascii="Arial" w:cs="Arial" w:eastAsia="Arial" w:hAnsi="Arial"/>
          <w:sz w:val="24"/>
          <w:szCs w:val="24"/>
        </w:rPr>
        <w:t xml:space="preserve">Так, основная сложность в расследовании указанных категорий уголовных дел - это процесс доказывания причастности к организации преступного сообщества, ее устойчивости, организованности, вооруженности и участия в нем. Ведь зачастую подозреваемые и обвиняемые не сотрудничают со следствием, противодействуют в обнаружении, фиксации следов преступлений, вещественных и иных доказательств. Потерпевшие и свидетели в ходе следствия, даже при условии успешного оперативного сопровождения расследования, дают показания, изобличающие преступников, однако в ходе судебного разбирательства, первые - из-за боязни угроз о применении насилия или получив материальную компенсацию, отказываются от поддержания обвинения, или изменяют свои первоначальные показания. Если нет оперативного сопровождения, потерпевшие и свидетели отказываются от дачи показаний даже на первоначальной стадии следствия. Угрозы, запугивания и противоправные действия применяются и к членам их семей. Есть примеры вынесения оправдательных приговоров активным членам ОПГ в связи с тем, что отсутствовали свидетельские показания. Криминальное воздействие имеет место и в отношении судей и работников правоохранительных органов, осуществляющих правосудие и расследование уголовных дел.</w:t>
      </w:r>
    </w:p>
    <w:p>
      <w:pPr>
        <w:spacing w:after="120"/>
        <w:jc w:val="both"/>
      </w:pPr>
      <w:r>
        <w:rPr>
          <w:rFonts w:ascii="Arial" w:cs="Arial" w:eastAsia="Arial" w:hAnsi="Arial"/>
          <w:sz w:val="24"/>
          <w:szCs w:val="24"/>
        </w:rPr>
        <w:t xml:space="preserve">2. Основные цели, задачи и сроки реализации настоящей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Государственной программы в соответствии с </w:t>
      </w:r>
      <w:hyperlink w:history="1" r:id="rIdn2cxq-a89flqkdi9ewpf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является обеспечение безопасности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Для реализации вышеуказанной цели необходимо выполнение задачи по обеспечению безопасности граждан в связи с участием их в уголовном судопроизводстве.</w:t>
      </w:r>
    </w:p>
    <w:p>
      <w:pPr>
        <w:spacing w:after="120"/>
        <w:jc w:val="both"/>
      </w:pPr>
      <w:r>
        <w:rPr>
          <w:rFonts w:ascii="Arial" w:cs="Arial" w:eastAsia="Arial" w:hAnsi="Arial"/>
          <w:sz w:val="24"/>
          <w:szCs w:val="24"/>
        </w:rPr>
        <w:t xml:space="preserve">Механизм реализации Государственной программы включает в себя план мероприятий, обеспечивающий управление процессами планирования, исполнения и контроля, являющийся составной частью настоящей Государственной программы.</w:t>
      </w:r>
    </w:p>
    <w:p>
      <w:pPr>
        <w:spacing w:after="120"/>
        <w:jc w:val="both"/>
      </w:pPr>
      <w:r>
        <w:rPr>
          <w:rFonts w:ascii="Arial" w:cs="Arial" w:eastAsia="Arial" w:hAnsi="Arial"/>
          <w:sz w:val="24"/>
          <w:szCs w:val="24"/>
        </w:rPr>
        <w:t xml:space="preserve">Государственная программа рассчитана на трехлетний период 2016 года.</w:t>
      </w:r>
    </w:p>
    <w:p>
      <w:pPr>
        <w:spacing w:after="120"/>
        <w:jc w:val="both"/>
      </w:pPr>
      <w:r>
        <w:rPr>
          <w:rFonts w:ascii="Arial" w:cs="Arial" w:eastAsia="Arial" w:hAnsi="Arial"/>
          <w:sz w:val="24"/>
          <w:szCs w:val="24"/>
        </w:rPr>
        <w:t xml:space="preserve">3. Финансирование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Государственной программы будет осуществляться за счет средств бюджета, необходимых для реализации </w:t>
      </w:r>
      <w:hyperlink w:history="1" r:id="rIdtla_lbm0dylbbk4qn319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и плана мероприятий в рамках настоящей Государственной программы.</w:t>
      </w:r>
    </w:p>
    <w:p>
      <w:pPr>
        <w:spacing w:after="120"/>
        <w:jc w:val="both"/>
      </w:pPr>
      <w:r>
        <w:rPr>
          <w:rFonts w:ascii="Arial" w:cs="Arial" w:eastAsia="Arial" w:hAnsi="Arial"/>
          <w:sz w:val="24"/>
          <w:szCs w:val="24"/>
        </w:rPr>
        <w:t xml:space="preserve">Мероприятия Государственной программы реализуются в порядке, обеспечивающем конфиденциальность сведений о производимых расходах.</w:t>
      </w:r>
    </w:p>
    <w:p>
      <w:pPr>
        <w:spacing w:after="120"/>
        <w:jc w:val="both"/>
      </w:pPr>
      <w:r>
        <w:rPr>
          <w:rFonts w:ascii="Arial" w:cs="Arial" w:eastAsia="Arial" w:hAnsi="Arial"/>
          <w:sz w:val="24"/>
          <w:szCs w:val="24"/>
        </w:rPr>
        <w:t xml:space="preserve">4. Заключение,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реализации настоящей Государственной программы ожидается достижение следующих результатов: ограничение неправомерного воздействия, причинения вреда здоровью, а также уничтожения, повреждения имущества защищаемых лиц в связи с их участием в уголовном судопроизводстве. Повышение активности свидетелей при даче показаний, повышение эффективности отправления правосудия.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Государственной программе обеспечения безопасности свидетелей, потерпевших и иных участников уголовного судопроизводства на 2014-2016 годы</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Государственной программы обеспечения безопасности свидетелей, потерпевших и
 иных участников уголовного судопроизводства на 2014-2016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3142"/>
        <w:gridCol w:w="3386"/>
        <w:gridCol w:w="1722"/>
        <w:gridCol w:w="1421"/>
      </w:tblGrid>
      <w:tr>
        <w:tc>
          <w:tcPr>
            <w:tcW w:type="dxa" w:w="5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3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реализации</w:t>
            </w:r>
          </w:p>
        </w:tc>
        <w:tc>
          <w:tcPr>
            <w:tcW w:type="dxa" w:w="1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охраны свидетелей, потерпевших и иных участников уголовного судопроизводства (личная охрана, охрана жилища и имущества)</w:t>
            </w:r>
          </w:p>
        </w:tc>
        <w:tc>
          <w:tcPr>
            <w:tcW w:type="dxa" w:w="3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Создание специализированных подразделений для обеспечения безопасности защищаемых лиц, охраны их жилья и имущества, либо возложение данных функций на существующие подразделения (в пределах штатной численности, финансирование которой осуществляется за счет средств республиканского бюджета на очередной финансовый год).</w:t>
            </w:r>
          </w:p>
        </w:tc>
        <w:tc>
          <w:tcPr>
            <w:tcW w:type="dxa" w:w="17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МВД, ГКНБ, ГСКН, ГСБЭП, ГТС, ГСИН</w:t>
            </w:r>
          </w:p>
        </w:tc>
        <w:tc>
          <w:tcPr>
            <w:tcW w:type="dxa" w:w="14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квартал 2014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защищаемых лиц специальными средствами индивидуальной защиты</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конфиденциальности сведений о защищаемом лице, включая изменение номеров их телефонов и иных средств коммуникации (Интернет и др.) и государственных регистрационных знаков, используемых ими, или принадлежащих им транспортных средств</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порядка замены документов защищаемых лиц, в том числе с изменением анкетных данных, в случаях необходимости - членам семей указанных лиц</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порядка и условий изменения внешности защищаемых лиц</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устройстве защищаемого лица на другое временное или постоянное, подходящее ему место работы (учебы)</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соответствующего проекта постановления Правительства Кыргызской Республики и внесение его в установленном порядке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 Минобороны, МОН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порядка оказания материальной поддержки защищаемых лиц, а в необходимых случаях - их родственников, в случаях гибели защищаемого лица, получения инвалидности, получения телесных повреждений</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соответствующих проектов нормативных правовых актов и внесение их в Аппарат Правительства Кыргызской Республики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совместно с ГКНБ, ГСКН, ГСБЭП, ГТС, ГСИН, МСР</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2014 года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мероприятий, направленных на изучение эффективности применения Государственной программы обеспечения безопасности потерпевших, свидетелей и иных участников уголовного судопроизводства на 2014-2016 годы</w:t>
            </w:r>
          </w:p>
        </w:tc>
        <w:tc>
          <w:tcPr>
            <w:tcW w:type="dxa" w:w="3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реализации действующей Государственной программы и необходимости разработки новой Государственной программы на последующие годы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ГСКН, ГСБЭП, ГТС, ГСИН</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bl>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Минобороны</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МСР</w:t>
      </w:r>
      <w:r>
        <w:rPr>
          <w:rFonts w:ascii="Arial" w:cs="Arial" w:eastAsia="Arial" w:hAnsi="Arial"/>
          <w:sz w:val="24"/>
          <w:szCs w:val="24"/>
        </w:rPr>
        <w:t xml:space="preserve">	</w:t>
      </w:r>
      <w:r>
        <w:rPr>
          <w:rFonts w:ascii="Arial" w:cs="Arial" w:eastAsia="Arial" w:hAnsi="Arial"/>
          <w:sz w:val="24"/>
          <w:szCs w:val="24"/>
        </w:rPr>
        <w:t xml:space="preserve">Министерство социального развития Кыргызской Республики;</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ГСКН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tabs>
          <w:tab w:val="right" w:pos="10178"/>
        </w:tabs>
        <w:spacing w:after="120"/>
      </w:pPr>
      <w:r>
        <w:rPr>
          <w:rFonts w:ascii="Arial" w:cs="Arial" w:eastAsia="Arial" w:hAnsi="Arial"/>
          <w:sz w:val="24"/>
          <w:szCs w:val="24"/>
        </w:rPr>
        <w:t xml:space="preserve">ГСБЭП</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qwgk3wwhy1zimtowg-r" Type="http://schemas.openxmlformats.org/officeDocument/2006/relationships/hyperlink" Target="http://kodeks.duckdns.org/document/11674" TargetMode="External"/><Relationship Id="rIdgv27jtrc30dlvnjdungtz" Type="http://schemas.openxmlformats.org/officeDocument/2006/relationships/hyperlink" Target="http://kodeks.duckdns.org/document/93376" TargetMode="External"/><Relationship Id="rIdphrojtxfmw5afhv3lj9du" Type="http://schemas.openxmlformats.org/officeDocument/2006/relationships/hyperlink" Target="http://kodeks.duckdns.org/document/202913" TargetMode="External"/><Relationship Id="rIdp55ltx4yn7njkanoldz_h" Type="http://schemas.openxmlformats.org/officeDocument/2006/relationships/hyperlink" Target="http://kodeks.duckdns.org/document/9" TargetMode="External"/><Relationship Id="rIdsya1mfy0pweidiems2t8q" Type="http://schemas.openxmlformats.org/officeDocument/2006/relationships/hyperlink" Target="http://kodeks.duckdns.org/document/1961" TargetMode="External"/><Relationship Id="rIdj0p4utx5pibgcmjilvrp3" Type="http://schemas.openxmlformats.org/officeDocument/2006/relationships/hyperlink" Target="http://kodeks.duckdns.org/document/9" TargetMode="External"/><Relationship Id="rIddy5ygbj-nfxd5gagmywnv" Type="http://schemas.openxmlformats.org/officeDocument/2006/relationships/hyperlink" Target="http://kodeks.duckdns.org/document/1961" TargetMode="External"/><Relationship Id="rId5smkboadyhi1qirgsaubb" Type="http://schemas.openxmlformats.org/officeDocument/2006/relationships/hyperlink" Target="http://kodeks.duckdns.org/document/1961" TargetMode="External"/><Relationship Id="rIdn2cxq-a89flqkdi9ewpf2" Type="http://schemas.openxmlformats.org/officeDocument/2006/relationships/hyperlink" Target="http://kodeks.duckdns.org/document/1961" TargetMode="External"/><Relationship Id="rIdtla_lbm0dylbbk4qn3199" Type="http://schemas.openxmlformats.org/officeDocument/2006/relationships/hyperlink" Target="http://kodeks.duckdns.org/document/1961"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2026-09-23T12:37:47.755Z</dcterms:created>
  <dcterms:modified xsi:type="dcterms:W3CDTF">2026-09-23T12:37:47.755Z</dcterms:modified>
</cp:coreProperties>
</file>

<file path=docProps/custom.xml><?xml version="1.0" encoding="utf-8"?>
<Properties xmlns="http://schemas.openxmlformats.org/officeDocument/2006/custom-properties" xmlns:vt="http://schemas.openxmlformats.org/officeDocument/2006/docPropsVTypes"/>
</file>