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статей 337-10, 350, 361 Гражданского
  процессуального </w:t>
      </w:r>
      <w:hyperlink w:history="1" r:id="rIdillg0tcrztkam6_ii3w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открытого акционерного общества
  «Северная ПМК»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января 2014 года № 08-р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судьи Касымалиева М.Ш., судей Айдарбековой Ч.А., Бобукеевой М.Р., Макешова Дж.М., Мамырова Э.Т., Осконбаева Э.Ж., Осмоновой Ч.О., Сооронкуловой К.С., при секретаре Азаровой М.Ж., с участием:</w:t>
      </w:r>
    </w:p>
    <w:p>
      <w:pPr>
        <w:spacing w:after="120"/>
        <w:jc w:val="both"/>
      </w:pPr>
      <w:r>
        <w:rPr>
          <w:rFonts w:ascii="Arial" w:cs="Arial" w:eastAsia="Arial" w:hAnsi="Arial"/>
          <w:sz w:val="24"/>
          <w:szCs w:val="24"/>
        </w:rPr>
        <w:t xml:space="preserve">обращающейся стороны — Гасанова А.А. - директора ОАО «Северная ПМК», Охналевой Ю.В., представляющей интересы ОАО «Северная ПМК» по доверенности;</w:t>
      </w:r>
    </w:p>
    <w:p>
      <w:pPr>
        <w:spacing w:after="120"/>
        <w:jc w:val="both"/>
      </w:pPr>
      <w:r>
        <w:rPr>
          <w:rFonts w:ascii="Arial" w:cs="Arial" w:eastAsia="Arial" w:hAnsi="Arial"/>
          <w:sz w:val="24"/>
          <w:szCs w:val="24"/>
        </w:rPr>
        <w:t xml:space="preserve">стороны - ответчика-Болжуровой С.С.,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Умуркулова Т.А.— представителя Судебного Департамента при Верховном суде Кыргызской Республики, действовавшего на основе доверенности; Салиева А.Р. .- члена.научно-консультативного совета при Верховном суде Кыргызской Республики;</w:t>
      </w:r>
    </w:p>
    <w:p>
      <w:pPr>
        <w:spacing w:after="120"/>
        <w:jc w:val="both"/>
      </w:pPr>
      <w:r>
        <w:rPr>
          <w:rFonts w:ascii="Arial" w:cs="Arial" w:eastAsia="Arial" w:hAnsi="Arial"/>
          <w:sz w:val="24"/>
          <w:szCs w:val="24"/>
        </w:rPr>
        <w:t xml:space="preserve">руководствуясь частями 1, 6, 8, 9, 10 статьи 97 </w:t>
      </w:r>
      <w:hyperlink w:history="1" r:id="rIdjkrs-dvofimztublweaz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статей 337-10, 350, 361 Гражданского процессуального </w:t>
      </w:r>
      <w:hyperlink w:history="1" r:id="rId1rk2--fby7kbky7pwgkp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ОАО «Северная ПМК».</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Конституции статьи 337-10, 350, 361 Гражданского процессуального </w:t>
      </w:r>
      <w:hyperlink w:history="1" r:id="rIdiuylaxbbd_lf1zleiiyr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24 июля 2013 года поступило ходатайство ОАО «Северная ПМК» о признании неконституционными статей 337-10, 350, 361 Гражданского процессуального </w:t>
      </w:r>
      <w:hyperlink w:history="1" r:id="rIdy1ziuz2dvgf0lregvjtf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-ГПК).</w:t>
      </w:r>
    </w:p>
    <w:p>
      <w:pPr>
        <w:spacing w:after="120"/>
        <w:jc w:val="both"/>
      </w:pPr>
      <w:r>
        <w:rPr>
          <w:rFonts w:ascii="Arial" w:cs="Arial" w:eastAsia="Arial" w:hAnsi="Arial"/>
          <w:sz w:val="24"/>
          <w:szCs w:val="24"/>
        </w:rPr>
        <w:t xml:space="preserve">По мнению обращающейся стороны, оспариваемые нормы ГПК не позволяют исполнить вступившее в законную силу решение суда и пересмотреть решение суда по новым или вновь открывшимся обстоятельствам, неоспоримо доказывающие наличие судебной ошибки. Положения оспариваемых норм ГПК нарушают пункт 8 части 5 статьи 20, часть 1 статьи 40 </w:t>
      </w:r>
      <w:hyperlink w:history="1" r:id="rIdw0d-o0nbvuygp7zkselk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каждому гарантируется судебная защита его прав и свобод и право на судебную защиту не подлежит никакому ограничению. В обоснование своих требований обращающаяся сторона приводит следующие доводы.</w:t>
      </w:r>
    </w:p>
    <w:p>
      <w:pPr>
        <w:spacing w:after="120"/>
        <w:jc w:val="both"/>
      </w:pPr>
      <w:r>
        <w:rPr>
          <w:rFonts w:ascii="Arial" w:cs="Arial" w:eastAsia="Arial" w:hAnsi="Arial"/>
          <w:sz w:val="24"/>
          <w:szCs w:val="24"/>
        </w:rPr>
        <w:t xml:space="preserve">Определением Верховного суда Кыргызской Республики.:от 21 июня 2011 года были приостановлены исполнение решения Первомайского районного суда. г. Бишкек от 25 октября 2010 года, .и определения Бишкекского городского суда от 1 февраля 2011 года с формулировкой до рассмотрения надзорной жалобы Озовой А., Дадильченко М., Адимбаева Р., и представителя Заидовой. С.; Акопян Е. При этом Верховный суд руководствовался статьей 350 ГПК, которая предоставляет суду право приостановить исполнение судебных решений до рассмотрения надзорной жалобы. Обращающаяся сторона считает, что Верховный суд Кыргызской Республики в этом случае применил статью 350 ГПК, которая противоречит статье 100 </w:t>
      </w:r>
      <w:hyperlink w:history="1" r:id="rIdqujsch7ty9uu0_xhaaq3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которая определяет, что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Данная конституционная норма, по мнению обращающейся стороны, не делает никаких исключений для государственных органов, в том числе й для судов, приостанавливать исполнение, вступивших в законную, силу, судебных актов. Содержание статьи 337-10 ГПК аналогичное со статьей 350 ГПК в части права суда кассационной инстанции приостанавливать исполнение судебного акта, вступившего в законную силу, до рассмотрения им кассационной жалобы.</w:t>
      </w:r>
    </w:p>
    <w:p>
      <w:pPr>
        <w:spacing w:after="120"/>
        <w:jc w:val="both"/>
      </w:pPr>
      <w:r>
        <w:rPr>
          <w:rFonts w:ascii="Arial" w:cs="Arial" w:eastAsia="Arial" w:hAnsi="Arial"/>
          <w:sz w:val="24"/>
          <w:szCs w:val="24"/>
        </w:rPr>
        <w:t xml:space="preserve">Вместе с тем, ОАО «Северная ПМК» определением Верховного суда Кыргызской Республики от 13 июня 2012 года было отказано в пересмотре постановления Верховного суда Кыргызской Республики от 19 октября 2011 года по вновь открывшимся обстоятельствам по гражданскому делу по иску ОАО «Северная ПМК» к ЗАО «Международный фонд развития горных регионов», Миг-лото, ОсОО «Истейт Девелопмент» и другим о признании сделок недействительными. Обращающаяся сторона считавший основанием для принятия такого судебного акта, стала статья 361 ГПК, содержит исчерпывающий перечень оснований для пересмотра судебных актов, вступивших в законную силу, по вновь открывшимся обстоятельствам. По Мнению обращающейся стороны, положения Международного пакта о гражданских и политических правах определяют принцип, в соответствие с которым любое новое или вновь обнаруженное обстоятельство, неоспоримо Доказывающее наличие судебной ошибки, должно повлечь пересмотр вступивших в законную силу судебных решений. Соответственно, статья 361 ГПК, ограничивающая пересмотр вступивших в законную силу судебных актов только по вновь открывшимся обстоятельствам противоречит части 3 ; статьи 6, пункту 8 части 5 статьи 20 </w:t>
      </w:r>
      <w:hyperlink w:history="1" r:id="rIds0tnjuruqu8d3z5g2byz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4 сентября 2013 года ходатайство ОАО «Северная ПМК» было принято к производству.</w:t>
      </w:r>
    </w:p>
    <w:p>
      <w:pPr>
        <w:spacing w:after="120"/>
        <w:jc w:val="both"/>
      </w:pPr>
      <w:r>
        <w:rPr>
          <w:rFonts w:ascii="Arial" w:cs="Arial" w:eastAsia="Arial" w:hAnsi="Arial"/>
          <w:sz w:val="24"/>
          <w:szCs w:val="24"/>
        </w:rPr>
        <w:t xml:space="preserve">В. дополнение к своему обращению представитель ОАО «Северная ПМК» Гасанов А.А., руководствуясь статьей 32 конституционного закона «О Конституционной палате Верховного суда Кыргызской Республики», 24 октября 2013 года увеличил объем своих требований и просил проверить также конституционность статьи 363 ГПК. Однако в ходе судебного заседания Гасанов А.А. устно заявил ходатайство об отзыве своего требования о проверке конституционности статьи 363 ГПК.</w:t>
      </w:r>
    </w:p>
    <w:p>
      <w:pPr>
        <w:spacing w:after="120"/>
        <w:jc w:val="both"/>
      </w:pPr>
      <w:r>
        <w:rPr>
          <w:rFonts w:ascii="Arial" w:cs="Arial" w:eastAsia="Arial" w:hAnsi="Arial"/>
          <w:sz w:val="24"/>
          <w:szCs w:val="24"/>
        </w:rPr>
        <w:t xml:space="preserve">В ходе судебного заседания субъект обращения уточнил свои требования, указав о необходимости проверки конституционности статей 337-10, 350 и 361 ГПК применительно к праву судов кассационной и надзорной инстанций приостанавливать исполнение судебных решений до разрешения ими поданных жалоб или представлений, а также в части ограничения перечня оснований для пересмотра судебных актов, вступивших в законную силу по вновь открывшимся обстоятельствам.</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не согласилась с доводами обращающейся стороны,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исследовав материалы дела, выслушав доводы сторон, выступления иных лиц, участвовавших на заседании,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Соответственно, положения..статей 337-10, 350 ГПК, определяющие права кассационной и надзорной инстанций приостанавливать исполнение судебных решений до разрешения ими поданных жалоб или представлений, и положения статьи 361 ГПК в части ограничения перечня, оснований для пересмотра судебных актов, вступивших в законную силу по вновь открывшимся обстоятельствам, и являются предметом рассмотрения Конституционной палаты по настоящему делу.</w:t>
      </w:r>
    </w:p>
    <w:p>
      <w:pPr>
        <w:spacing w:after="120"/>
        <w:jc w:val="both"/>
      </w:pPr>
      <w:r>
        <w:rPr>
          <w:rFonts w:ascii="Arial" w:cs="Arial" w:eastAsia="Arial" w:hAnsi="Arial"/>
          <w:sz w:val="24"/>
          <w:szCs w:val="24"/>
        </w:rPr>
        <w:t xml:space="preserve">Конституционной палатой рассматриваются нормы ГПК .следующего 1 содержания:</w:t>
      </w:r>
    </w:p>
    <w:p>
      <w:pPr>
        <w:spacing w:after="120"/>
        <w:jc w:val="both"/>
      </w:pPr>
      <w:r>
        <w:rPr>
          <w:rFonts w:ascii="Arial" w:cs="Arial" w:eastAsia="Arial" w:hAnsi="Arial"/>
          <w:sz w:val="24"/>
          <w:szCs w:val="24"/>
        </w:rPr>
        <w:t xml:space="preserve">«Статья 337-10. Приостановление исполнения судебного решения Кассационная инстанция вправе приостановить исполнение судебных решений до разрешения кассационной жалобы или представления»</w:t>
      </w:r>
    </w:p>
    <w:p>
      <w:pPr>
        <w:spacing w:after="120"/>
        <w:jc w:val="both"/>
      </w:pPr>
      <w:r>
        <w:rPr>
          <w:rFonts w:ascii="Arial" w:cs="Arial" w:eastAsia="Arial" w:hAnsi="Arial"/>
          <w:sz w:val="24"/>
          <w:szCs w:val="24"/>
        </w:rPr>
        <w:t xml:space="preserve">«Статья 350. Приостановление исполнения судебного решения. Судебный состав судебной коллегии Верховного суда Кыргызской Республики вправе приостановить исполнение судебных 'решений до разрешения надзорной жалобы или представления.»</w:t>
      </w:r>
    </w:p>
    <w:p>
      <w:pPr>
        <w:spacing w:after="120"/>
        <w:jc w:val="both"/>
      </w:pPr>
      <w:r>
        <w:rPr>
          <w:rFonts w:ascii="Arial" w:cs="Arial" w:eastAsia="Arial" w:hAnsi="Arial"/>
          <w:sz w:val="24"/>
          <w:szCs w:val="24"/>
        </w:rPr>
        <w:t xml:space="preserve">«Статья 361. Основания пересмотра</w:t>
      </w:r>
    </w:p>
    <w:p>
      <w:pPr>
        <w:spacing w:after="120"/>
        <w:jc w:val="both"/>
      </w:pPr>
      <w:r>
        <w:rPr>
          <w:rFonts w:ascii="Arial" w:cs="Arial" w:eastAsia="Arial" w:hAnsi="Arial"/>
          <w:sz w:val="24"/>
          <w:szCs w:val="24"/>
        </w:rPr>
        <w:t xml:space="preserve">1. Судебные акты, вступившие в законную силу, могут быть пересмотрены по вновь открывшимся обстоятельствам, за исключением судебных актов на решение соответствующей избирательной комиссии об итогах голосования или результатах выборов, а также по делам о банкротстве в отношении должника, где была применена процедура специального администрирования, в результате чего должник был ликвидирован и исключен из государственного реестра юридических лиц.</w:t>
      </w:r>
    </w:p>
    <w:p>
      <w:pPr>
        <w:spacing w:after="120"/>
        <w:jc w:val="both"/>
      </w:pPr>
      <w:r>
        <w:rPr>
          <w:rFonts w:ascii="Arial" w:cs="Arial" w:eastAsia="Arial" w:hAnsi="Arial"/>
          <w:sz w:val="24"/>
          <w:szCs w:val="24"/>
        </w:rPr>
        <w:t xml:space="preserve">2. Основаниями для пересмотра судебных актов по вновь открывшимся обстоятельствам являются:</w:t>
      </w:r>
    </w:p>
    <w:p>
      <w:pPr>
        <w:spacing w:after="120"/>
        <w:jc w:val="both"/>
      </w:pPr>
      <w:r>
        <w:rPr>
          <w:rFonts w:ascii="Arial" w:cs="Arial" w:eastAsia="Arial" w:hAnsi="Arial"/>
          <w:sz w:val="24"/>
          <w:szCs w:val="24"/>
        </w:rPr>
        <w:t xml:space="preserve">1) .существенные для дела обстоятельства, которые не были и не могли быть известны заявителю;</w:t>
      </w:r>
    </w:p>
    <w:p>
      <w:pPr>
        <w:spacing w:after="120"/>
        <w:jc w:val="both"/>
      </w:pPr>
      <w:r>
        <w:rPr>
          <w:rFonts w:ascii="Arial" w:cs="Arial" w:eastAsia="Arial" w:hAnsi="Arial"/>
          <w:sz w:val="24"/>
          <w:szCs w:val="24"/>
        </w:rPr>
        <w:t xml:space="preserve">2) признание Конституционным судом Кыргызской Республики соответствующим Конституции Кыргызской Республики закона, на котором основан судебный акт, если к его пересмотру нет иных препятствий;</w:t>
      </w:r>
    </w:p>
    <w:p>
      <w:pPr>
        <w:spacing w:after="120"/>
        <w:jc w:val="both"/>
      </w:pPr>
      <w:r>
        <w:rPr>
          <w:rFonts w:ascii="Arial" w:cs="Arial" w:eastAsia="Arial" w:hAnsi="Arial"/>
          <w:sz w:val="24"/>
          <w:szCs w:val="24"/>
        </w:rPr>
        <w:t xml:space="preserve">3) установленные вступившим в законную силу приговором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сторон, других лиц, участвующих в деле, либо их представителей или преступные деяния судей, совершенные при рассмотрении данного дела;</w:t>
      </w:r>
    </w:p>
    <w:p>
      <w:pPr>
        <w:spacing w:after="120"/>
        <w:jc w:val="both"/>
      </w:pPr>
      <w:r>
        <w:rPr>
          <w:rFonts w:ascii="Arial" w:cs="Arial" w:eastAsia="Arial" w:hAnsi="Arial"/>
          <w:sz w:val="24"/>
          <w:szCs w:val="24"/>
        </w:rPr>
        <w:t xml:space="preserve">5) отмена акта суда либо постановления иного органа, послужившего основанием к вынесению данного судебного акта.».</w:t>
      </w:r>
    </w:p>
    <w:p>
      <w:pPr>
        <w:spacing w:after="120"/>
        <w:jc w:val="both"/>
      </w:pPr>
      <w:r>
        <w:rPr>
          <w:rFonts w:ascii="Arial" w:cs="Arial" w:eastAsia="Arial" w:hAnsi="Arial"/>
          <w:sz w:val="24"/>
          <w:szCs w:val="24"/>
        </w:rPr>
        <w:t xml:space="preserve">Гражданский процессуальный кодекс Кыргызской Республики от 29 декабря 1999 года № 146 опубликован в «Ведомости Жогорку Кенеша Кыргызской Республики» 2000 года № 3, принят в соответствие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соответствие с </w:t>
      </w:r>
      <w:hyperlink w:history="1" r:id="rId2vei2os-s6ckyfis84l7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 предусмотренных </w:t>
      </w:r>
      <w:hyperlink w:history="1" r:id="rIdywbrjq3cb-y87bhp_lky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p>
    <w:p>
      <w:pPr>
        <w:spacing w:after="120"/>
        <w:jc w:val="both"/>
      </w:pPr>
      <w:r>
        <w:rPr>
          <w:rFonts w:ascii="Arial" w:cs="Arial" w:eastAsia="Arial" w:hAnsi="Arial"/>
          <w:sz w:val="24"/>
          <w:szCs w:val="24"/>
        </w:rPr>
        <w:t xml:space="preserve">Право на судебную защиту и его составляющей - права на законный суд, предусмотрены также Международным пактом о гражданских и политических правах (пункт 1 статьи 14), где закреплено право каждого при определении его гражданских прав .и обязанностей на справедливое и открытое разбирательство . дела компетентным, независимым и беспристрастным судом, созданным на основании закона.</w:t>
      </w:r>
    </w:p>
    <w:p>
      <w:pPr>
        <w:spacing w:after="120"/>
        <w:jc w:val="both"/>
      </w:pPr>
      <w:r>
        <w:rPr>
          <w:rFonts w:ascii="Arial" w:cs="Arial" w:eastAsia="Arial" w:hAnsi="Arial"/>
          <w:sz w:val="24"/>
          <w:szCs w:val="24"/>
        </w:rPr>
        <w:t xml:space="preserve">Из смысла названных положений </w:t>
      </w:r>
      <w:hyperlink w:history="1" r:id="rIda7crvema6dr1hvgnvx4_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международно-правовых актов, являющихся в силу части 3 статьи 6 Конституции составной частью правовой системы Кыргызской Республики, право каждого на судебную защиту предполагает, в частности, что рассмотрение дела должно осуществляться законно  установленным  судом,  чья компетенция по рассмотрению данного дела и порядок осуществления судопроизводства заранее определяются законом (части 1, 4 статьи 93, часть 1 статьи 96, части 4, 5 статьи 99 </w:t>
      </w:r>
      <w:hyperlink w:history="1" r:id="rId6pissmljuud6nqx4jts2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законодательное регулирование процесса отправления правосудия, предусматривающего конкретные гарантии реализации в полном объеме права на судебную защиту, и обеспечивающие эффективное восстановление в правах, не должно отменять или умалять права и свободы человека и гражданина, а возможные их ограничения должны быть соразмерными и обусловливаться необходимостью защиты конституционных ценностей (части 1,2 статьи 20, часть 1 статьи 93 </w:t>
      </w:r>
      <w:hyperlink w:history="1" r:id="rIdlmaxxdqvwm5lfw3xeibm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Осуществляемое судом судопроизводство, призванное обеспечить защиту прав и свобод человеками гражданина, выражается в форме судебного акта, который является властным волевым актом органа государственной власти, обеспеченный государственным принуждением (части 2,4 статьи 93, часть 2 статьи 100 Конституции). С момента вступления судебного акта в законную силу оно приобретает свойства неопровержимости, исключительности, обязательности, преюдициальности, исполнимости и становится неизменным, если отвечает требованиям законности и обоснованности (статья 198 ГПК).</w:t>
      </w:r>
    </w:p>
    <w:p>
      <w:pPr>
        <w:spacing w:after="120"/>
        <w:jc w:val="both"/>
      </w:pPr>
      <w:r>
        <w:rPr>
          <w:rFonts w:ascii="Arial" w:cs="Arial" w:eastAsia="Arial" w:hAnsi="Arial"/>
          <w:sz w:val="24"/>
          <w:szCs w:val="24"/>
        </w:rPr>
        <w:t xml:space="preserve">В реализацию конституционных положений, предусматривающих право каждого на повторное рассмотрение дела вышестоящим судом (пункт 3 части 5 статьи 20 Конституции), законодатель предусмотрел в законе возможность пересмотра вступивших в законную силу судебных актов в кассационном порядке, надзорном порядке и по вновь открывшимся обстоятельствам.</w:t>
      </w:r>
    </w:p>
    <w:p>
      <w:pPr>
        <w:spacing w:after="120"/>
        <w:jc w:val="both"/>
      </w:pPr>
      <w:r>
        <w:rPr>
          <w:rFonts w:ascii="Arial" w:cs="Arial" w:eastAsia="Arial" w:hAnsi="Arial"/>
          <w:sz w:val="24"/>
          <w:szCs w:val="24"/>
        </w:rPr>
        <w:t xml:space="preserve">Целью указанных процессуальных инструментов является проверка законности и обоснованности решений, выносимых судами, и тем самым обеспечение эффективной защиты прав и свобод граждан.</w:t>
      </w:r>
    </w:p>
    <w:p>
      <w:pPr>
        <w:spacing w:after="120"/>
        <w:jc w:val="both"/>
      </w:pPr>
      <w:r>
        <w:rPr>
          <w:rFonts w:ascii="Arial" w:cs="Arial" w:eastAsia="Arial" w:hAnsi="Arial"/>
          <w:sz w:val="24"/>
          <w:szCs w:val="24"/>
        </w:rPr>
        <w:t xml:space="preserve">В этом смысле отсутствие обеспечительных мер не позволит в полной мере и достаточно эффективно гарантировать право на судебную защиту.</w:t>
      </w:r>
    </w:p>
    <w:p>
      <w:pPr>
        <w:spacing w:after="120"/>
        <w:jc w:val="both"/>
      </w:pPr>
      <w:r>
        <w:rPr>
          <w:rFonts w:ascii="Arial" w:cs="Arial" w:eastAsia="Arial" w:hAnsi="Arial"/>
          <w:sz w:val="24"/>
          <w:szCs w:val="24"/>
        </w:rPr>
        <w:t xml:space="preserve">Такие законоположения отвечают требованиям пункта 3 части 5 статьи 20, статьи 40, части 1 статьи 96, части 5 статьи 99 </w:t>
      </w:r>
      <w:hyperlink w:history="1" r:id="rIdj00vcw7pmfdymptkfbk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частям 5, 6  статьи 14 Международного пакта о гражданских и политических правах, которыми каждому гарантируется право на судебную защиту, которое должно быть основано на принципе справедливого судебного разбирательства, осуществляемого компетентным, независимым и беспристрастным судом, и иметь возможность пересмотра судебного решения, в случае обнаружения судебной ошибки.</w:t>
      </w:r>
    </w:p>
    <w:p>
      <w:pPr>
        <w:spacing w:after="120"/>
        <w:jc w:val="both"/>
      </w:pPr>
      <w:r>
        <w:rPr>
          <w:rFonts w:ascii="Arial" w:cs="Arial" w:eastAsia="Arial" w:hAnsi="Arial"/>
          <w:sz w:val="24"/>
          <w:szCs w:val="24"/>
        </w:rPr>
        <w:t xml:space="preserve">4. В соответствии с </w:t>
      </w:r>
      <w:hyperlink w:history="1" r:id="rIdikcqb5dyh8nopcwnxk0s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(часть 1 статьи 100). Эта конституционная норма предусматривает как обязательность в отношении установленных судом обстоятельств, их правовой оценки и указанных в судебных актах предписаний, так и обязательное исполнение судебных решений.</w:t>
      </w:r>
    </w:p>
    <w:p>
      <w:pPr>
        <w:spacing w:after="120"/>
        <w:jc w:val="both"/>
      </w:pPr>
      <w:r>
        <w:rPr>
          <w:rFonts w:ascii="Arial" w:cs="Arial" w:eastAsia="Arial" w:hAnsi="Arial"/>
          <w:sz w:val="24"/>
          <w:szCs w:val="24"/>
        </w:rPr>
        <w:t xml:space="preserve">Вместе с тем, обязательность судебного решения также означает, что оно распространяется на всех лиц независимо от того, были ли они лицами, участвующими в деле, или нет; для лиц, участвующих в деле, обязательность судебного решения означает необходимость подчинить, свое поведение предписанию судебного решения; иные субъекты должны либо совершить определенные действия, либо не нарушать принятое решение, Решение суда распространяется на всю территорию Кыргызской Республики.</w:t>
      </w:r>
    </w:p>
    <w:p>
      <w:pPr>
        <w:spacing w:after="120"/>
        <w:jc w:val="both"/>
      </w:pPr>
      <w:r>
        <w:rPr>
          <w:rFonts w:ascii="Arial" w:cs="Arial" w:eastAsia="Arial" w:hAnsi="Arial"/>
          <w:sz w:val="24"/>
          <w:szCs w:val="24"/>
        </w:rPr>
        <w:t xml:space="preserve">Исполнимость судебного решения по общему правилу начинается со дня вступления решения в законную силу, за исключением случаев немедленного исполнения (ст. 212, .213 ГПК), и может предполагать законодательно установленные механизмы принудительного исполнения, если решение не  исполняется добровольно.</w:t>
      </w:r>
    </w:p>
    <w:p>
      <w:pPr>
        <w:spacing w:after="120"/>
        <w:jc w:val="both"/>
      </w:pPr>
      <w:r>
        <w:rPr>
          <w:rFonts w:ascii="Arial" w:cs="Arial" w:eastAsia="Arial" w:hAnsi="Arial"/>
          <w:sz w:val="24"/>
          <w:szCs w:val="24"/>
        </w:rPr>
        <w:t xml:space="preserve">Вместе с тем, исполнение судебного акта может быть приостановлено в установленном законом порядке (часть 4 статьи 99 </w:t>
      </w:r>
      <w:hyperlink w:history="1" r:id="rIdhtgz2e9fkzvfx6gti5qf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 этом, приостановление исполнения судебного решения, вступившего в законную силу, до разрешения кассационной, надзорной жалобы или представления не умаляет роль, значение и последствия судебного акта, обязательность которого сохраняется для должника в течение этого периода и не может стать ограничением права  на судебную защиту.</w:t>
      </w:r>
    </w:p>
    <w:p>
      <w:pPr>
        <w:spacing w:after="120"/>
        <w:jc w:val="both"/>
      </w:pPr>
      <w:r>
        <w:rPr>
          <w:rFonts w:ascii="Arial" w:cs="Arial" w:eastAsia="Arial" w:hAnsi="Arial"/>
          <w:sz w:val="24"/>
          <w:szCs w:val="24"/>
        </w:rPr>
        <w:t xml:space="preserve">Законодатель, предусматривая основания, процедуры и способы приостановления исполнения судебных актов, исходил из необходимости исключения случаев невозможности исполнения решения судов при их пересмотре в судах кассационной и надзорной инстанций. Отсутствие такого механизма не обеспечивало бы должной мере принцип эффективной судебной защиты, гарантированного </w:t>
      </w:r>
      <w:hyperlink w:history="1" r:id="rIdgbvelgwuoi8-db2buwrf6">
        <w:r>
          <w:rPr>
            <w:rFonts w:ascii="Arial" w:cs="Arial" w:eastAsia="Arial" w:hAnsi="Arial"/>
            <w:color w:val="1D4ED8"/>
            <w:sz w:val="24"/>
            <w:szCs w:val="24"/>
            <w:u w:val="single"/>
          </w:rPr>
          <w:t xml:space="preserve">Конституцией</w:t>
        </w:r>
      </w:hyperlink>
    </w:p>
    <w:p>
      <w:pPr>
        <w:spacing w:after="120"/>
        <w:jc w:val="both"/>
      </w:pPr>
      <w:r>
        <w:rPr>
          <w:rFonts w:ascii="Arial" w:cs="Arial" w:eastAsia="Arial" w:hAnsi="Arial"/>
          <w:sz w:val="24"/>
          <w:szCs w:val="24"/>
        </w:rPr>
        <w:t xml:space="preserve">Процесс приостановления исполнения судебного решения как обеспечительная мера, которая по своему значению должна приниматься безотлагательно, нельзя, расценивать как умаление или ущемление прав и свобод участников судебного разбирательства, которые могут быть в полной мере реализованы в процессе рассмотрения дела по существу.</w:t>
      </w:r>
    </w:p>
    <w:p>
      <w:pPr>
        <w:spacing w:after="120"/>
        <w:jc w:val="both"/>
      </w:pPr>
      <w:r>
        <w:rPr>
          <w:rFonts w:ascii="Arial" w:cs="Arial" w:eastAsia="Arial" w:hAnsi="Arial"/>
          <w:sz w:val="24"/>
          <w:szCs w:val="24"/>
        </w:rPr>
        <w:t xml:space="preserve">В этой связи положения статьи 100 </w:t>
      </w:r>
      <w:hyperlink w:history="1" r:id="rIdd1cn4qnnjgrbawofqfuq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предусматривающие обязательность и исполнимость судебных актов, вступивших в законную силу, необходимо рассматривать в неразрывной связи с положениями части 4 статьи 99 </w:t>
      </w:r>
      <w:hyperlink w:history="1" r:id="rIdnxaa-7r_n8p0_hhp9g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которые в совокупности направлены на обеспечение со стороны государственных органов гарантии на эффективную судебную защиту прав и свобод граждан, в том числе и права на повторное рассмотрения дела вышестоящим судом.</w:t>
      </w:r>
    </w:p>
    <w:p>
      <w:pPr>
        <w:spacing w:after="120"/>
        <w:jc w:val="both"/>
      </w:pPr>
      <w:r>
        <w:rPr>
          <w:rFonts w:ascii="Arial" w:cs="Arial" w:eastAsia="Arial" w:hAnsi="Arial"/>
          <w:sz w:val="24"/>
          <w:szCs w:val="24"/>
        </w:rPr>
        <w:t xml:space="preserve">Таким образом, проверяемые статьи 337-10 и 350 ГПК, принятые законодателем в реализацию указанных выше конституционных норм не противоречат </w:t>
      </w:r>
      <w:hyperlink w:history="1" r:id="rIdxcamw04kgg8flipwr05k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Положения проверяемой нормы статьи 361 ГПК приняты законодателем также в реализацию конституционных гарантий судебной защиты прав и свобод человека, и права каждого на повторное рассмотрение дела вышестоящим судом, не подлежащее никакому ограничению. Следует отметить, что положения Международного пакта о гражданских и политических правах (пункт 6 статьи 14 Пакта), приведенные обращающейся стороной в ходатайстве в обоснование своих доводов, применимы для уголовного преследования и не могут рассматриваться в данном деле.</w:t>
      </w:r>
    </w:p>
    <w:p>
      <w:pPr>
        <w:spacing w:after="120"/>
        <w:jc w:val="both"/>
      </w:pPr>
      <w:r>
        <w:rPr>
          <w:rFonts w:ascii="Arial" w:cs="Arial" w:eastAsia="Arial" w:hAnsi="Arial"/>
          <w:sz w:val="24"/>
          <w:szCs w:val="24"/>
        </w:rPr>
        <w:t xml:space="preserve">Вместе с тем, Конституционная палата отмечает, что порядок пересмотра по вновь открывшимся обстоятельствам судебных актов, вступивших в законную силу, представляет собой исключительную стадию гражданского процесса. По своему предназначению и содержанию пересмотр по вновь открывшимся обстоятельствам судебных актов, вступивших в законную силу, используемый в случаях, когда неприменимы или исчерпаны все другие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w:t>
      </w:r>
    </w:p>
    <w:p>
      <w:pPr>
        <w:spacing w:after="120"/>
        <w:jc w:val="both"/>
      </w:pPr>
      <w:r>
        <w:rPr>
          <w:rFonts w:ascii="Arial" w:cs="Arial" w:eastAsia="Arial" w:hAnsi="Arial"/>
          <w:sz w:val="24"/>
          <w:szCs w:val="24"/>
        </w:rPr>
        <w:t xml:space="preserve">Из смысла норм гражданского процессуального закона вновь открывшиеся обстоятельства представляют собой такие обстоятельства, которые не были и не могли быть известны во время рассмотрения дела лицу, участвовавшему в деле, заявившему об этом впоследствии, а также суду, рассматривавшему дело. Исходя из этого определения «вновь открывшихся обстоятельств» пункты 2, 5 части 2 статьи 361 ГПК являются  по своей  правовой природе новыми обстоятельствами. При этом они объединены в одной стадии гражданского процесса, как основания для пересмотра судебных актов по вновь открывшимся обстоятельствам. Отличительным признаком новых обстоятельств является их возникновение после рассмотрения дела и вынесения судебного акта. Правовым последствием, как вновь открывшихся обстоятельств, так и новых обстоятельств, является пересмотр судебных решений. Новые обстоятельства, как и вновь открывшиеся обстоятельства, как основания для пересмотра судебных решений, должны иметь строго очерченные границы и не. содержать абстрактных определений, иначе это будет противоречить правовой стабильности и определенности судебных актов и приведет к нарушениям принципов правового государства. Поэтому Конституционная палата не усматривает в исчерпывающем перечне вновь открывшихся обстоятельств ограничений доступа к правосудию.</w:t>
      </w:r>
    </w:p>
    <w:p>
      <w:pPr>
        <w:spacing w:after="120"/>
        <w:jc w:val="both"/>
      </w:pPr>
      <w:r>
        <w:rPr>
          <w:rFonts w:ascii="Arial" w:cs="Arial" w:eastAsia="Arial" w:hAnsi="Arial"/>
          <w:sz w:val="24"/>
          <w:szCs w:val="24"/>
        </w:rPr>
        <w:t xml:space="preserve">Существующее смешение понятий вновь открывшееся обстоятельство» и «новое обстоятельство», допущенное законодателем в части 2 статьи 361 ГПК, может быть устранено путем внесения изменений и дополнений в ГПК.</w:t>
      </w:r>
    </w:p>
    <w:p>
      <w:pPr>
        <w:spacing w:after="120"/>
        <w:jc w:val="both"/>
      </w:pPr>
      <w:r>
        <w:rPr>
          <w:rFonts w:ascii="Arial" w:cs="Arial" w:eastAsia="Arial" w:hAnsi="Arial"/>
          <w:sz w:val="24"/>
          <w:szCs w:val="24"/>
        </w:rPr>
        <w:t xml:space="preserve">На основании вышеизложенного, и руководствуясь  статьями 46, 47, 48, 51, 52 конституционного закона «О Конституционной палате-Верховного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статьи 337-10, 350, 361 Гражданского процессуального </w:t>
      </w:r>
      <w:hyperlink w:history="1" r:id="rIdtjbwwitavxgxgdz-3shk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w:t>
      </w:r>
      <w:hyperlink w:history="1" r:id="rIdj6ehosmzudga-jekkdkp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w:t>
      </w:r>
    </w:p>
    <w:p>
      <w:pPr>
        <w:spacing w:after="120"/>
        <w:jc w:val="both"/>
      </w:pPr>
      <w:r>
        <w:rPr>
          <w:rFonts w:ascii="Arial" w:cs="Arial" w:eastAsia="Arial" w:hAnsi="Arial"/>
          <w:b/>
          <w:bCs/>
          <w:sz w:val="24"/>
          <w:szCs w:val="24"/>
        </w:rPr>
        <w:t xml:space="preserve">Конституционная палата-Верховного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eehadb7ld66imj86kz4">
      <w:r>
        <w:rPr>
          <w:rFonts w:ascii="Arial" w:cs="Arial" w:eastAsia="Arial" w:hAnsi="Arial"/>
          <w:color w:val="132D3F"/>
          <w:sz w:val="16"/>
          <w:szCs w:val="16"/>
          <w:u w:val="single"/>
        </w:rPr>
        <w:t xml:space="preserve">dalil.kg/document/9609</w:t>
      </w:r>
    </w:hyperlink>
  </w:p>
  <w:p>
    <w:pPr>
      <w:spacing w:after="0" w:before="40"/>
      <w:jc w:val="center"/>
    </w:pPr>
    <w:hyperlink w:history="1" r:id="rIduruyn-hwrrduk8nsg6x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lg0tcrztkam6_ii3wtz" Type="http://schemas.openxmlformats.org/officeDocument/2006/relationships/hyperlink" Target="https://dalil.kg/document/12" TargetMode="External"/><Relationship Id="rIdjkrs-dvofimztublweazf" Type="http://schemas.openxmlformats.org/officeDocument/2006/relationships/hyperlink" Target="https://dalil.kg/document/202913" TargetMode="External"/><Relationship Id="rId1rk2--fby7kbky7pwgkph" Type="http://schemas.openxmlformats.org/officeDocument/2006/relationships/hyperlink" Target="https://dalil.kg/document/12" TargetMode="External"/><Relationship Id="rIdiuylaxbbd_lf1zleiiyra" Type="http://schemas.openxmlformats.org/officeDocument/2006/relationships/hyperlink" Target="https://dalil.kg/document/12" TargetMode="External"/><Relationship Id="rIdy1ziuz2dvgf0lregvjtf9" Type="http://schemas.openxmlformats.org/officeDocument/2006/relationships/hyperlink" Target="https://dalil.kg/document/12" TargetMode="External"/><Relationship Id="rIdw0d-o0nbvuygp7zkselkc" Type="http://schemas.openxmlformats.org/officeDocument/2006/relationships/hyperlink" Target="https://dalil.kg/document/202913" TargetMode="External"/><Relationship Id="rIdqujsch7ty9uu0_xhaaq3j" Type="http://schemas.openxmlformats.org/officeDocument/2006/relationships/hyperlink" Target="https://dalil.kg/document/202913" TargetMode="External"/><Relationship Id="rIds0tnjuruqu8d3z5g2byz4" Type="http://schemas.openxmlformats.org/officeDocument/2006/relationships/hyperlink" Target="https://dalil.kg/document/202913" TargetMode="External"/><Relationship Id="rId2vei2os-s6ckyfis84l7m" Type="http://schemas.openxmlformats.org/officeDocument/2006/relationships/hyperlink" Target="https://dalil.kg/document/202913" TargetMode="External"/><Relationship Id="rIdywbrjq3cb-y87bhp_lkyb" Type="http://schemas.openxmlformats.org/officeDocument/2006/relationships/hyperlink" Target="https://dalil.kg/document/202913" TargetMode="External"/><Relationship Id="rIda7crvema6dr1hvgnvx4_x" Type="http://schemas.openxmlformats.org/officeDocument/2006/relationships/hyperlink" Target="https://dalil.kg/document/202913" TargetMode="External"/><Relationship Id="rId6pissmljuud6nqx4jts2y" Type="http://schemas.openxmlformats.org/officeDocument/2006/relationships/hyperlink" Target="https://dalil.kg/document/202913" TargetMode="External"/><Relationship Id="rIdlmaxxdqvwm5lfw3xeibmp" Type="http://schemas.openxmlformats.org/officeDocument/2006/relationships/hyperlink" Target="https://dalil.kg/document/202913" TargetMode="External"/><Relationship Id="rIdj00vcw7pmfdymptkfbkr-" Type="http://schemas.openxmlformats.org/officeDocument/2006/relationships/hyperlink" Target="https://dalil.kg/document/202913" TargetMode="External"/><Relationship Id="rIdikcqb5dyh8nopcwnxk0s0" Type="http://schemas.openxmlformats.org/officeDocument/2006/relationships/hyperlink" Target="https://dalil.kg/document/202913" TargetMode="External"/><Relationship Id="rIdhtgz2e9fkzvfx6gti5qfu" Type="http://schemas.openxmlformats.org/officeDocument/2006/relationships/hyperlink" Target="https://dalil.kg/document/202913" TargetMode="External"/><Relationship Id="rIdgbvelgwuoi8-db2buwrf6" Type="http://schemas.openxmlformats.org/officeDocument/2006/relationships/hyperlink" Target="https://dalil.kg/document/202913" TargetMode="External"/><Relationship Id="rIdd1cn4qnnjgrbawofqfuq7" Type="http://schemas.openxmlformats.org/officeDocument/2006/relationships/hyperlink" Target="https://dalil.kg/document/202913" TargetMode="External"/><Relationship Id="rIdnxaa-7r_n8p0_hhp9gik-" Type="http://schemas.openxmlformats.org/officeDocument/2006/relationships/hyperlink" Target="https://dalil.kg/document/202913" TargetMode="External"/><Relationship Id="rIdxcamw04kgg8flipwr05kl" Type="http://schemas.openxmlformats.org/officeDocument/2006/relationships/hyperlink" Target="https://dalil.kg/document/202913" TargetMode="External"/><Relationship Id="rIdtjbwwitavxgxgdz-3shki" Type="http://schemas.openxmlformats.org/officeDocument/2006/relationships/hyperlink" Target="https://dalil.kg/document/12" TargetMode="External"/><Relationship Id="rIdj6ehosmzudga-jekkdkp6"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eehadb7ld66imj86kz4" Type="http://schemas.openxmlformats.org/officeDocument/2006/relationships/hyperlink" Target="https://dalil.kg/document/9609" TargetMode="External"/><Relationship Id="rIduruyn-hwrrduk8nsg6x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2026-09-25T05:40:08.874Z</dcterms:created>
  <dcterms:modified xsi:type="dcterms:W3CDTF">2026-09-25T05:40:08.874Z</dcterms:modified>
</cp:coreProperties>
</file>

<file path=docProps/custom.xml><?xml version="1.0" encoding="utf-8"?>
<Properties xmlns="http://schemas.openxmlformats.org/officeDocument/2006/custom-properties" xmlns:vt="http://schemas.openxmlformats.org/officeDocument/2006/docPropsVTypes"/>
</file>