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к </w:t>
      </w:r>
      <w:hyperlink w:history="1" r:id="rIdnq4rcyyfduyrfah3i5cdi">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12 февраля 2014 года </w:t>
      </w:r>
      <w:r>
        <w:rPr>
          <w:rFonts w:ascii="Arial" w:cs="Arial" w:eastAsia="Arial" w:hAnsi="Arial"/>
          <w:i/>
          <w:iCs/>
          <w:sz w:val="24"/>
          <w:szCs w:val="24"/>
        </w:rPr>
        <w:t xml:space="preserve">№</w:t>
      </w:r>
      <w:r>
        <w:rPr>
          <w:rFonts w:ascii="Arial" w:cs="Arial" w:eastAsia="Arial" w:hAnsi="Arial"/>
          <w:i/>
          <w:iCs/>
          <w:sz w:val="24"/>
          <w:szCs w:val="24"/>
        </w:rPr>
        <w:t xml:space="preserve"> 89</w:t>
      </w:r>
    </w:p>
    <w:p>
      <w:pPr>
        <w:spacing w:after="400" w:before="400"/>
        <w:jc w:val="center"/>
      </w:pPr>
      <w:r>
        <w:rPr>
          <w:rFonts w:ascii="Arial" w:cs="Arial" w:eastAsia="Arial" w:hAnsi="Arial"/>
          <w:b/>
          <w:bCs/>
          <w:sz w:val="24"/>
          <w:szCs w:val="24"/>
        </w:rPr>
        <w:t xml:space="preserve">РЕГЛАМЕНТ</w:t>
      </w:r>
      <w:r>
        <w:rPr>
          <w:rFonts w:ascii="Arial" w:cs="Arial" w:eastAsia="Arial" w:hAnsi="Arial"/>
          <w:b/>
          <w:bCs/>
          <w:sz w:val="24"/>
          <w:szCs w:val="24"/>
        </w:rPr>
        <w:t xml:space="preserve">
 взаимодействия Центра судебного представительства Кабинета Министров Кыргызской Республики с государственными органами</w:t>
      </w:r>
    </w:p>
    <w:p>
      <w:pPr>
        <w:spacing w:after="200"/>
        <w:jc w:val="center"/>
      </w:pPr>
      <w:r>
        <w:rPr>
          <w:rFonts w:ascii="Arial" w:cs="Arial" w:eastAsia="Arial" w:hAnsi="Arial"/>
          <w:i/>
          <w:iCs/>
          <w:sz w:val="24"/>
          <w:szCs w:val="24"/>
        </w:rPr>
        <w:t xml:space="preserve">(В редакции постановления Кабинета Министров КР от</w:t>
      </w:r>
      <w:hyperlink w:history="1" r:id="rIdaki3bxcsbuveo2dqatzed">
        <w:r>
          <w:rPr>
            <w:rFonts w:ascii="Arial" w:cs="Arial" w:eastAsia="Arial" w:hAnsi="Arial"/>
            <w:i/>
            <w:iCs/>
            <w:color w:val="1D4ED8"/>
            <w:sz w:val="24"/>
            <w:szCs w:val="24"/>
            <w:u w:val="single"/>
          </w:rPr>
          <w:t xml:space="preserve">15 ноября 2021 года № 261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Регламент определяет порядок взаимодействия Центра судебного представительства Кабинета Министров Кыргызской Республики (далее - Центр) с государственными органами по вопросам представления интересов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2. Центр осуществляет защиту нарушенных или оспариваемых прав и охраняемых законом и иными международными договорами, участницей которых является Кыргызская Республика, интересов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3. Государственные органы, в течение 2-х дней после предъявления к ним иска физическими и юридическими лицами в арбитражные суды, международные суды, международные арбитражные суды, иностранные суды, третейские суды и иные специализированные суды, в Верховный суд Кыргызской Республики, Конституционный суд Кыргызской Республики и местные судебные органы, где стороной выступает Кабинет Министров Кыргызской Республики, Председатель Кабинета Министров Кыргызской Республики, направляют соответствующую информацию и свою позицию по существу вопроса в Центр.</w:t>
      </w:r>
    </w:p>
    <w:p>
      <w:pPr>
        <w:spacing w:after="60"/>
        <w:ind w:firstLine="567"/>
        <w:jc w:val="both"/>
      </w:pPr>
      <w:r>
        <w:rPr>
          <w:rFonts w:ascii="Arial" w:cs="Arial" w:eastAsia="Arial" w:hAnsi="Arial"/>
          <w:sz w:val="24"/>
          <w:szCs w:val="24"/>
        </w:rPr>
        <w:t xml:space="preserve">4. Решение о направлении иска в Центр для осуществления дальнейших действий по представлению интересов Кабинета Министров Кыргызской Республики принимается Председателем Кабинета Министров Кыргызской Республики, заместителями Председателя Кабинета Министров Кыргызской Республики с одновременным направлением поручения государственному органу, к сфере ведения которого относится рассматриваемый вопрос, о представлении в Центр всех необходимых материалов, документов и информации.</w:t>
      </w:r>
    </w:p>
    <w:p>
      <w:pPr>
        <w:spacing w:after="60"/>
        <w:ind w:firstLine="567"/>
        <w:jc w:val="both"/>
      </w:pPr>
      <w:r>
        <w:rPr>
          <w:rFonts w:ascii="Arial" w:cs="Arial" w:eastAsia="Arial" w:hAnsi="Arial"/>
          <w:sz w:val="24"/>
          <w:szCs w:val="24"/>
        </w:rPr>
        <w:t xml:space="preserve">Решение о направлении иска в Центр для осуществления дальнейших действий по представлению интересов государственного органа Кыргызской Республики и представлении в Центр всех необходимых материалов, документов и информации принимается руководителем данного государственного органа Кыргызской Республики, по согласованию с Председателем Кабинета Министров Кыргызской Республики, заместителями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5. Решение о целесообразности предъявления иска от имени Кабинета Министров Кыргызской Республики, полного или частичного отказа от исковых требований, изменения предмета или основания иска, заключения мирового соглашения, обжалования судебных актов, приостановления производства по делу подлежит согласованию с Председателем Кабинета Министров Кыргызской Республики, заместителями Председателя Кабинета Министров Кыргызской Республики. Одновременно согласовывается вопрос о целесообразности предъявления иска:</w:t>
      </w:r>
    </w:p>
    <w:p>
      <w:pPr>
        <w:spacing w:after="60"/>
        <w:ind w:firstLine="567"/>
        <w:jc w:val="both"/>
      </w:pPr>
      <w:r>
        <w:rPr>
          <w:rFonts w:ascii="Arial" w:cs="Arial" w:eastAsia="Arial" w:hAnsi="Arial"/>
          <w:sz w:val="24"/>
          <w:szCs w:val="24"/>
        </w:rPr>
        <w:t xml:space="preserve">- уполномоченным государственным органом;</w:t>
      </w:r>
    </w:p>
    <w:p>
      <w:pPr>
        <w:spacing w:after="60"/>
        <w:ind w:firstLine="567"/>
        <w:jc w:val="both"/>
      </w:pPr>
      <w:r>
        <w:rPr>
          <w:rFonts w:ascii="Arial" w:cs="Arial" w:eastAsia="Arial" w:hAnsi="Arial"/>
          <w:sz w:val="24"/>
          <w:szCs w:val="24"/>
        </w:rPr>
        <w:t xml:space="preserve">- Центром;</w:t>
      </w:r>
    </w:p>
    <w:p>
      <w:pPr>
        <w:spacing w:after="60"/>
        <w:ind w:firstLine="567"/>
        <w:jc w:val="both"/>
      </w:pPr>
      <w:r>
        <w:rPr>
          <w:rFonts w:ascii="Arial" w:cs="Arial" w:eastAsia="Arial" w:hAnsi="Arial"/>
          <w:sz w:val="24"/>
          <w:szCs w:val="24"/>
        </w:rPr>
        <w:t xml:space="preserve">- уполномоченной юридической компанией.</w:t>
      </w:r>
    </w:p>
    <w:p>
      <w:pPr>
        <w:spacing w:after="60"/>
        <w:ind w:firstLine="567"/>
        <w:jc w:val="both"/>
      </w:pPr>
      <w:r>
        <w:rPr>
          <w:rFonts w:ascii="Arial" w:cs="Arial" w:eastAsia="Arial" w:hAnsi="Arial"/>
          <w:sz w:val="24"/>
          <w:szCs w:val="24"/>
        </w:rPr>
        <w:t xml:space="preserve">6. Государственные органы, чьи интересы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представляет Центр, в течение 2-х дней после получения поручения, указанного в пункте 4 настоящего Регламента, направляют все материалы, относящиеся к предмету арбитражного суда, международного суда, международного арбитражного суда, иностранного суда, третейского суда и иных специализированных судов, Верховного суда Кыргызской Республики, Конституционного суда Кыргызской Республики и местного судебного разбирательства, в Центр.</w:t>
      </w:r>
    </w:p>
    <w:p>
      <w:pPr>
        <w:spacing w:after="60"/>
        <w:ind w:firstLine="567"/>
        <w:jc w:val="both"/>
      </w:pPr>
      <w:r>
        <w:rPr>
          <w:rFonts w:ascii="Arial" w:cs="Arial" w:eastAsia="Arial" w:hAnsi="Arial"/>
          <w:sz w:val="24"/>
          <w:szCs w:val="24"/>
        </w:rPr>
        <w:t xml:space="preserve">Государственные органы принимают непосредственное участие в сборе и исследовании доказательств по предмету арбитражного суда, международного суда, международного арбитражного суда, иностранного суда, третейского суда и иных специализированных судов, Верховного суда Кыргызской Республики, Конституционного суда Кыргызской Республики и местного судебного разбирательства.</w:t>
      </w:r>
    </w:p>
    <w:p>
      <w:pPr>
        <w:spacing w:after="60"/>
        <w:ind w:firstLine="567"/>
        <w:jc w:val="both"/>
      </w:pPr>
      <w:r>
        <w:rPr>
          <w:rFonts w:ascii="Arial" w:cs="Arial" w:eastAsia="Arial" w:hAnsi="Arial"/>
          <w:sz w:val="24"/>
          <w:szCs w:val="24"/>
        </w:rPr>
        <w:t xml:space="preserve">7. Право выдачи доверенности на представление интересов Кабинета Министров Кыргызской Республики в судебных заседаниях во всех судебных инстанциях Кыргызской Республики,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с определением полномочий представителя, установленных Гражданским процессуальным </w:t>
      </w:r>
      <w:hyperlink w:history="1" r:id="rIdxdcam79z7r1p23ybzoph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Уголовно-процессуальным </w:t>
      </w:r>
      <w:hyperlink w:history="1" r:id="rIdxvaf5sxgsxzyxgjxqqoh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осуществляется директором Центра, а в его отсутствие - заместителем директора Центра.</w:t>
      </w:r>
    </w:p>
    <w:p>
      <w:pPr>
        <w:spacing w:after="60"/>
        <w:ind w:firstLine="567"/>
        <w:jc w:val="both"/>
      </w:pPr>
      <w:r>
        <w:rPr>
          <w:rFonts w:ascii="Arial" w:cs="Arial" w:eastAsia="Arial" w:hAnsi="Arial"/>
          <w:sz w:val="24"/>
          <w:szCs w:val="24"/>
        </w:rPr>
        <w:t xml:space="preserve">8. Для представления интересов Кабинета Министров Кыргызской Республики в суде,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доверенность может выдаваться лицам, состоящим в штате Центра, министерств, государственных комитетов и других органов исполнительной власти и подведомственных им органов (центральном аппарате, территориальных и иных органах) либо привлекаемым лицам.</w:t>
      </w:r>
    </w:p>
    <w:p>
      <w:pPr>
        <w:spacing w:after="60"/>
        <w:ind w:firstLine="567"/>
        <w:jc w:val="both"/>
      </w:pPr>
      <w:r>
        <w:rPr>
          <w:rFonts w:ascii="Arial" w:cs="Arial" w:eastAsia="Arial" w:hAnsi="Arial"/>
          <w:sz w:val="24"/>
          <w:szCs w:val="24"/>
        </w:rPr>
        <w:t xml:space="preserve">9. Сотрудник государственного органа, который является представителем Кабинета Министров Кыргызской Республики в суде и государственного органа Кыргызской Республики, обязан в сроки, установленные законодательством Кыргызской Республики для обжалования судебных решений, информировать в Центр о результатах рассмотрения дела в суде.</w:t>
      </w:r>
    </w:p>
    <w:p>
      <w:pPr>
        <w:spacing w:after="60"/>
        <w:ind w:firstLine="567"/>
        <w:jc w:val="both"/>
      </w:pPr>
      <w:r>
        <w:rPr>
          <w:rFonts w:ascii="Arial" w:cs="Arial" w:eastAsia="Arial" w:hAnsi="Arial"/>
          <w:sz w:val="24"/>
          <w:szCs w:val="24"/>
        </w:rPr>
        <w:t xml:space="preserve">10. Центр, Администрация Президента Кыргызской Республики и государственные органы создают условия для взаимодействия, взаимных контактов и обмена информацией по рассматриваемым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исковым требованиям.</w:t>
      </w:r>
    </w:p>
    <w:p>
      <w:pPr>
        <w:spacing w:after="60"/>
        <w:ind w:firstLine="567"/>
        <w:jc w:val="both"/>
      </w:pPr>
      <w:r>
        <w:rPr>
          <w:rFonts w:ascii="Arial" w:cs="Arial" w:eastAsia="Arial" w:hAnsi="Arial"/>
          <w:sz w:val="24"/>
          <w:szCs w:val="24"/>
        </w:rPr>
        <w:t xml:space="preserve">11. Центр совместно с Администрацией Президента Кыргызской Республики, государственными органами может создавать рабочие группы, проводить семинары по вопросам, представляющим взаимный интерес.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q4rcyyfduyrfah3i5cdi" Type="http://schemas.openxmlformats.org/officeDocument/2006/relationships/hyperlink" Target="http://kodeks.duckdns.org/document/96091" TargetMode="External"/><Relationship Id="rIdaki3bxcsbuveo2dqatzed" Type="http://schemas.openxmlformats.org/officeDocument/2006/relationships/hyperlink" Target="http://kodeks.duckdns.org/document/158708" TargetMode="External"/><Relationship Id="rIdxdcam79z7r1p23ybzophb" Type="http://schemas.openxmlformats.org/officeDocument/2006/relationships/hyperlink" Target="http://kodeks.duckdns.org/document/111521" TargetMode="External"/><Relationship Id="rIdxvaf5sxgsxzyxgjxqqoh9" Type="http://schemas.openxmlformats.org/officeDocument/2006/relationships/hyperlink" Target="http://kodeks.duckdns.org/document/112308"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2026-09-23T07:03:26.505Z</dcterms:created>
  <dcterms:modified xsi:type="dcterms:W3CDTF">2026-09-23T07:03:26.505Z</dcterms:modified>
</cp:coreProperties>
</file>

<file path=docProps/custom.xml><?xml version="1.0" encoding="utf-8"?>
<Properties xmlns="http://schemas.openxmlformats.org/officeDocument/2006/custom-properties" xmlns:vt="http://schemas.openxmlformats.org/officeDocument/2006/docPropsVTypes"/>
</file>