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h9ubhinew1q3udrgdxk2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pa8fct8agrae6wqytby2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2014 года № 108/53/13</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благодаря проведению Правительством Кыргызской Республики (далее - Правительство) и Национальным банком Кыргызской Республики (далее - НБКР) скоординированной макроэкономической и денежно-кредитной политики, обеспечена макроэкономическая, финансовая и социальная стабильность в стране.</w:t>
      </w:r>
    </w:p>
    <w:p>
      <w:pPr>
        <w:spacing w:after="120"/>
        <w:jc w:val="both"/>
      </w:pPr>
      <w:r>
        <w:rPr>
          <w:rFonts w:ascii="Arial" w:cs="Arial" w:eastAsia="Arial" w:hAnsi="Arial"/>
          <w:sz w:val="24"/>
          <w:szCs w:val="24"/>
        </w:rPr>
        <w:t xml:space="preserve">По предварительной оценке, реальный рост валового внутреннего продукта (ВВП) по итогам 2013 года составил 10,5%, против реального снижения на 0,1% в 2012 году. Экономический рост обеспечен всеми секторами экономики, при этом наибольший положительный вклад в структуру ВВП внесен промышленностью (5,4 п.п.) и сферой услуг (2,5 п.п.), где объемы производства реально возросли соответственно на 34,3% и 5,1%. Наибольшие темпы роста отмечены в сельском хозяйстве - на 2,9% и строительстве - на 12,4%.</w:t>
      </w:r>
    </w:p>
    <w:p>
      <w:pPr>
        <w:spacing w:after="120"/>
        <w:jc w:val="both"/>
      </w:pPr>
      <w:r>
        <w:rPr>
          <w:rFonts w:ascii="Arial" w:cs="Arial" w:eastAsia="Arial" w:hAnsi="Arial"/>
          <w:sz w:val="24"/>
          <w:szCs w:val="24"/>
        </w:rPr>
        <w:t xml:space="preserve">Росту объемов отраслей экономики способствовали наращивание производства на руднике Кумтор после ремонта, благоприятные климатические условия, создание благоприятных условий для ведения бизнеса через сокращение проверок, количества лицензий и других мер государственного регулирования, расширение внутреннего спроса и сохранение в течение года благоприятной конъюнктуры на экспортную продукцию.</w:t>
      </w:r>
    </w:p>
    <w:p>
      <w:pPr>
        <w:spacing w:after="120"/>
        <w:jc w:val="both"/>
      </w:pPr>
      <w:r>
        <w:rPr>
          <w:rFonts w:ascii="Arial" w:cs="Arial" w:eastAsia="Arial" w:hAnsi="Arial"/>
          <w:sz w:val="24"/>
          <w:szCs w:val="24"/>
        </w:rPr>
        <w:t xml:space="preserve">Рост в отраслях экономики сопровождается улучшением социальных показателей страны. Растут доходы населения и отмечено улучшение ситуации на рынке труда. Было создано 84,6 тыс. рабочих мест, на вакансии трудоустроено 39,7 тыс. чел. Среднемесячная номинальная заработная плата одного работника в январе-ноябре 2013 года (без учета малых предприятий) составила 11085 сомов и увеличилась на 4,9%. В целом по республике на 1 января 2014 года средний размер ежемесячных пособий малообеспеченным семьям, имеющим детей, увеличился на 5,1%, что связано с повышением размера гарантированного минимального дохода (ГМД); средний размер ежемесячных социальных пособий увеличился на 0,1%. По итогам октябрьского перерасчета средний размер пенсии увеличился на 6,8% за счет повышения страховых частей пенсий. Соотношение среднего размера пенсии к прожиточному минимуму пенсионера (ПМП) возросло до 109,3%.</w:t>
      </w:r>
    </w:p>
    <w:p>
      <w:pPr>
        <w:spacing w:after="120"/>
        <w:jc w:val="both"/>
      </w:pPr>
      <w:r>
        <w:rPr>
          <w:rFonts w:ascii="Arial" w:cs="Arial" w:eastAsia="Arial" w:hAnsi="Arial"/>
          <w:sz w:val="24"/>
          <w:szCs w:val="24"/>
        </w:rPr>
        <w:t xml:space="preserve">Социальные обязательства в рамках утвержденных параметров выполнены.</w:t>
      </w:r>
    </w:p>
    <w:p>
      <w:pPr>
        <w:spacing w:after="120"/>
        <w:jc w:val="both"/>
      </w:pPr>
      <w:r>
        <w:rPr>
          <w:rFonts w:ascii="Arial" w:cs="Arial" w:eastAsia="Arial" w:hAnsi="Arial"/>
          <w:sz w:val="24"/>
          <w:szCs w:val="24"/>
        </w:rPr>
        <w:t xml:space="preserve">Эффективные действия Правительства и НБКР по стабилизации цен позволили удержать уровень годовой инфляции в заявленном значении, не превышающий однозначных показателей. 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Инфляция в 2013 году к декабрю 2012 года составила 4,0%, а ее среднегодовое значение за этот период - 6,6%.</w:t>
      </w:r>
    </w:p>
    <w:p>
      <w:pPr>
        <w:spacing w:after="120"/>
        <w:jc w:val="both"/>
      </w:pPr>
      <w:r>
        <w:rPr>
          <w:rFonts w:ascii="Arial" w:cs="Arial" w:eastAsia="Arial" w:hAnsi="Arial"/>
          <w:sz w:val="24"/>
          <w:szCs w:val="24"/>
        </w:rPr>
        <w:t xml:space="preserve">Финансовая устойчивость страны обеспечивается накоплениями в международных резервах. Объем резервов, по состоянию на 31 декабря 2013 года, составил 2238,4 млн. долл.США, увеличившись с начала 2013 года на 8,3%.</w:t>
      </w:r>
    </w:p>
    <w:p>
      <w:pPr>
        <w:spacing w:after="120"/>
        <w:jc w:val="both"/>
      </w:pPr>
      <w:r>
        <w:rPr>
          <w:rFonts w:ascii="Arial" w:cs="Arial" w:eastAsia="Arial" w:hAnsi="Arial"/>
          <w:sz w:val="24"/>
          <w:szCs w:val="24"/>
        </w:rPr>
        <w:t xml:space="preserve">Отмечается позитивная динамика развития банковского сектора, что сопровождается увеличением суммарных активов банковской системы, которые за январь-ноябрь 2013 года выросли на 23,4% и составили 107,9 млрд. сомов. Общая депозитная база банковского сектора составила 61,0 млрд. сомов, увеличившись с начала года на 26,8%, в том числе депозиты населения выросли на 29,1%.</w:t>
      </w:r>
    </w:p>
    <w:p>
      <w:pPr>
        <w:spacing w:after="120"/>
        <w:jc w:val="both"/>
      </w:pPr>
      <w:r>
        <w:rPr>
          <w:rFonts w:ascii="Arial" w:cs="Arial" w:eastAsia="Arial" w:hAnsi="Arial"/>
          <w:sz w:val="24"/>
          <w:szCs w:val="24"/>
        </w:rPr>
        <w:t xml:space="preserve">Объем кредитного портфеля банковского сектора, по состоянию на 30 ноября 2013 года, составил 52,8 млрд. сомов, увеличившись с начала года на 31,6%. Кредит в экономику в 2013 году составил 57,2 млрд. сомов, увеличившись с начала года на 36,1% (в 2012 году - 26,2%).</w:t>
      </w:r>
    </w:p>
    <w:p>
      <w:pPr>
        <w:spacing w:after="120"/>
        <w:jc w:val="both"/>
      </w:pPr>
      <w:r>
        <w:rPr>
          <w:rFonts w:ascii="Arial" w:cs="Arial" w:eastAsia="Arial" w:hAnsi="Arial"/>
          <w:sz w:val="24"/>
          <w:szCs w:val="24"/>
        </w:rPr>
        <w:t xml:space="preserve">Дефицит республиканского бюджета за январь-декабрь 2013 года составил 0,8% к ВВП.</w:t>
      </w:r>
    </w:p>
    <w:p>
      <w:pPr>
        <w:spacing w:after="120"/>
        <w:jc w:val="both"/>
      </w:pPr>
      <w:r>
        <w:rPr>
          <w:rFonts w:ascii="Arial" w:cs="Arial" w:eastAsia="Arial" w:hAnsi="Arial"/>
          <w:sz w:val="24"/>
          <w:szCs w:val="24"/>
        </w:rPr>
        <w:t xml:space="preserve">Правительством в рамках реализации Национальной стратегии устойчивого развития в 2013 году реализован детальный План мероприятий на 2013 год (утвержден </w:t>
      </w:r>
      <w:hyperlink w:history="1" r:id="rIdk1m6djvkspit8vjoeix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5 марта 2013 года № 111), определяющий конкретный перечень мероприятий по исполнению НСУР. План включает 149 приоритетных задач по стабилизации ситуации в экономике страны и пути их решения, а также инвестиционные проекты, ориентированные на развитие экономики страны в 2013 году.</w:t>
      </w:r>
    </w:p>
    <w:p>
      <w:pPr>
        <w:spacing w:after="120"/>
        <w:jc w:val="both"/>
      </w:pPr>
      <w:r>
        <w:rPr>
          <w:rFonts w:ascii="Arial" w:cs="Arial" w:eastAsia="Arial" w:hAnsi="Arial"/>
          <w:sz w:val="24"/>
          <w:szCs w:val="24"/>
        </w:rPr>
        <w:t xml:space="preserve">Основным фактором повышения экономической активности в 2013 году стала реализация крупных инвестиционных проектов, освоенных на сумму 32 млрд. сомов, такие, как: реабилитация автодороги Бишкек-Нарын-Торугарт (9-272 км, 272-365 км, 365-539 км), реабилитация автодороги Ош-Баткен-Исфана (10-28 км, 108-123 км, 220-232 км, 232-248 км, 248-360 км), проект по модернизации национальной системы Организации воздушного движения (ОВД), модернизация и приобретение навигационного оборудования и технических средств для аэропортов "Манас", "Ош", "Иссык-Куль", модернизация линий электропередачи на юге Кыргызстана (завершение строительства ЛЭП 500 кВ "Датка", строительство новых линий электропередач 220 кВ и реконструкция 5-ти существующих ПС-220 кВ), начало строительства Верхне-Нарынского каскада ГЭС, завершение строительства НПЗ "Чайна Петроль Компани "Джунда", а также направленные капитальные вложения на разработку месторождений золота Кумтор, Бозымчак, Талды-Булак Левобережный, Ширальджин.</w:t>
      </w:r>
    </w:p>
    <w:p>
      <w:pPr>
        <w:spacing w:after="120"/>
        <w:jc w:val="both"/>
      </w:pPr>
      <w:r>
        <w:rPr>
          <w:rFonts w:ascii="Arial" w:cs="Arial" w:eastAsia="Arial" w:hAnsi="Arial"/>
          <w:sz w:val="24"/>
          <w:szCs w:val="24"/>
        </w:rPr>
        <w:t xml:space="preserve">Проводимая работа по снижению административной нагрузки на бизнес позволила Кыргызстану улучшить условия ведения бизнеса. По данным отчета Всемирного банка "Ведение бизнеса", Кыргызстан по показателю "Защита инвесторов" занимает 1-е место среди стран-участниц СНГ и 22 в мире. По легкости регистрации собственности республика занимает 9-е место в мире.</w:t>
      </w:r>
    </w:p>
    <w:p>
      <w:pPr>
        <w:spacing w:after="120"/>
        <w:jc w:val="both"/>
      </w:pPr>
      <w:r>
        <w:rPr>
          <w:rFonts w:ascii="Arial" w:cs="Arial" w:eastAsia="Arial" w:hAnsi="Arial"/>
          <w:sz w:val="24"/>
          <w:szCs w:val="24"/>
        </w:rPr>
        <w:t xml:space="preserve">Проводилась интенсивная работа по присоединению Кыргызской Республики к Таможенному Союзу (далее - ТС) и Единому экономическому пространству (далее - ЕЭП). Согласно Плану мероприятий, кыргызской стороной были подготовлены и направлены в Евразийскую экономическую комиссию (далее - ЕЭК) анализ национального законодательства Кыргызской Республики и международных договоров, регулирующих внешнеторговую деятельность, на соответствие договорно-правовой базе ТС, включая сравнение обязательств Кыргызской Республики перед ВТО, анализ состояния инфраструктуры пунктов пропуска, а также статистические данные по представленному формату ЕЭК.</w:t>
      </w:r>
    </w:p>
    <w:p>
      <w:pPr>
        <w:spacing w:after="120"/>
        <w:jc w:val="both"/>
      </w:pPr>
      <w:r>
        <w:rPr>
          <w:rFonts w:ascii="Arial" w:cs="Arial" w:eastAsia="Arial" w:hAnsi="Arial"/>
          <w:sz w:val="24"/>
          <w:szCs w:val="24"/>
        </w:rPr>
        <w:t xml:space="preserve">Подготовлены предложения по минимизации рисков при вступлении в ТС для включения в проект Дорожной карты.</w:t>
      </w:r>
    </w:p>
    <w:p>
      <w:pPr>
        <w:spacing w:after="120"/>
        <w:jc w:val="both"/>
      </w:pPr>
      <w:r>
        <w:rPr>
          <w:rFonts w:ascii="Arial" w:cs="Arial" w:eastAsia="Arial" w:hAnsi="Arial"/>
          <w:sz w:val="24"/>
          <w:szCs w:val="24"/>
        </w:rPr>
        <w:t xml:space="preserve">Среди значимых предложений кыргызской стороны, которые были учтены в проекте Дорожной карты, можно отметить мероприятия по определению Перечня товаров и ставок, в отношении которых Кыргызской Республике необходимо в течение переходного периода внедрить применение ставок таможенных пошлин, отличных от Единого таможенного тарифа (далее - ЕТТ), а также другие мероприятия, связанные с гармонизацией законодательства по отраслям, дополнительным оснащением пунктов пропуска и созданием центра безопасности пищевой продукции и испытаний в Кыргызской Республике.</w:t>
      </w:r>
    </w:p>
    <w:p>
      <w:pPr>
        <w:spacing w:after="120"/>
        <w:jc w:val="both"/>
      </w:pPr>
      <w:r>
        <w:rPr>
          <w:rFonts w:ascii="Arial" w:cs="Arial" w:eastAsia="Arial" w:hAnsi="Arial"/>
          <w:sz w:val="24"/>
          <w:szCs w:val="24"/>
        </w:rPr>
        <w:t xml:space="preserve">В целях комплексного и сбалансированного государственного управления и обеспечения реализации приоритетов устойчивого развития, определенных в Национальной стратегии устойчивого развития Кыргызской Республики на 2013-2017 годы, разработана Программа по переходу Кыргызской Республики к устойчивому развитию на 2013-2017 годы (одобрена постановлением Правительства Кыргызской Республики от 30 апреля 2013 года № 128), где главным компонентом стал детальный План Правительства на ближайшие пять лет с конкретными мерами, действиями, проектами для решения каждой из задач, поставленных в Национальной стратегии.</w:t>
      </w:r>
    </w:p>
    <w:p>
      <w:pPr>
        <w:spacing w:after="120"/>
        <w:jc w:val="both"/>
      </w:pPr>
      <w:r>
        <w:rPr>
          <w:rFonts w:ascii="Arial" w:cs="Arial" w:eastAsia="Arial" w:hAnsi="Arial"/>
          <w:sz w:val="24"/>
          <w:szCs w:val="24"/>
        </w:rPr>
        <w:t xml:space="preserve">Таким образом, в 2013 году достигнуты значительные результаты. Вместе с тем, имеются внешние и внутренние риски, которые могут оказать влияние на развитие экономики страны в 2014 году.</w:t>
      </w:r>
    </w:p>
    <w:p>
      <w:pPr>
        <w:spacing w:after="120"/>
        <w:jc w:val="both"/>
      </w:pPr>
      <w:r>
        <w:rPr>
          <w:rFonts w:ascii="Arial" w:cs="Arial" w:eastAsia="Arial" w:hAnsi="Arial"/>
          <w:sz w:val="24"/>
          <w:szCs w:val="24"/>
        </w:rPr>
        <w:t xml:space="preserve">С одной стороны, неустойчивость мировой экономики. В мировой экономике сохраняется тенденция к спаду, которая способна привести к рецессии в экономиках ЕС и США и снижению темпов роста Китая уже в 2014 году. Международные организации пересмотрели свои прогнозы по развитию мировой экономики в сторону снижения на 2014 год(1) до 3,6% при ранее прогнозируемом 4% росте, Еврозоны - до 1% (ранее 1,1%), страны с развитой экономикой - до 2% (2,2%), Китая - до 7,3% (ранее 8,2%). Пересмотрены прогнозируемые показатели и в странах - основных торговых партнерах: Казахстане - с 6,2% до 6%, России - с 3% до 2,5%.</w:t>
      </w:r>
    </w:p>
    <w:p>
      <w:pPr>
        <w:spacing w:after="120"/>
        <w:jc w:val="both"/>
      </w:pPr>
      <w:r>
        <w:rPr>
          <w:rFonts w:ascii="Arial" w:cs="Arial" w:eastAsia="Arial" w:hAnsi="Arial"/>
          <w:sz w:val="24"/>
          <w:szCs w:val="24"/>
        </w:rPr>
        <w:t xml:space="preserve">С другой стороны, фактически сложившиеся высокая база 2013 года, а также волатильность цен на золото будут основными предпосылками формирования макроэкономических показателей в 2014 году.</w:t>
      </w:r>
    </w:p>
    <w:p>
      <w:pPr>
        <w:spacing w:after="120"/>
        <w:jc w:val="both"/>
      </w:pPr>
      <w:r>
        <w:rPr>
          <w:rFonts w:ascii="Arial" w:cs="Arial" w:eastAsia="Arial" w:hAnsi="Arial"/>
          <w:sz w:val="24"/>
          <w:szCs w:val="24"/>
        </w:rPr>
        <w:t xml:space="preserve">В этих условиях главными Целями экономической политики в 2014 году будут сохранение макроэкономической стабильности и закрепление базовых условий для выхода на устойчивые темпы экономического роста.</w:t>
      </w:r>
    </w:p>
    <w:p>
      <w:pPr>
        <w:spacing w:after="120"/>
        <w:jc w:val="both"/>
      </w:pPr>
      <w:r>
        <w:rPr>
          <w:rFonts w:ascii="Arial" w:cs="Arial" w:eastAsia="Arial" w:hAnsi="Arial"/>
          <w:sz w:val="24"/>
          <w:szCs w:val="24"/>
        </w:rPr>
        <w:t xml:space="preserve">Основными направлениями экономической политики в 2014 году станут:</w:t>
      </w:r>
    </w:p>
    <w:p>
      <w:pPr>
        <w:spacing w:after="120"/>
        <w:jc w:val="both"/>
      </w:pPr>
      <w:r>
        <w:rPr>
          <w:rFonts w:ascii="Arial" w:cs="Arial" w:eastAsia="Arial" w:hAnsi="Arial"/>
          <w:sz w:val="24"/>
          <w:szCs w:val="24"/>
        </w:rPr>
        <w:t xml:space="preserve">- сохранение и обеспечение макроэкономической стабильности для устойчивого развития;</w:t>
      </w:r>
    </w:p>
    <w:p>
      <w:pPr>
        <w:spacing w:after="120"/>
        <w:jc w:val="both"/>
      </w:pPr>
      <w:r>
        <w:rPr>
          <w:rFonts w:ascii="Arial" w:cs="Arial" w:eastAsia="Arial" w:hAnsi="Arial"/>
          <w:sz w:val="24"/>
          <w:szCs w:val="24"/>
        </w:rPr>
        <w:t xml:space="preserve">- проведение согласованной денежно-кредитной политики, способствующей реализации планов Правительства по устойчивому росту экономики;</w:t>
      </w:r>
    </w:p>
    <w:p>
      <w:pPr>
        <w:spacing w:after="120"/>
        <w:jc w:val="both"/>
      </w:pPr>
      <w:r>
        <w:rPr>
          <w:rFonts w:ascii="Arial" w:cs="Arial" w:eastAsia="Arial" w:hAnsi="Arial"/>
          <w:sz w:val="24"/>
          <w:szCs w:val="24"/>
        </w:rPr>
        <w:t xml:space="preserve">- налогово-бюджетная политика, направленная на обеспечение стабильной экономической системы и решение задач структурной, региональной и социальной политики;</w:t>
      </w:r>
    </w:p>
    <w:p>
      <w:pPr>
        <w:spacing w:after="120"/>
        <w:jc w:val="both"/>
      </w:pPr>
      <w:r>
        <w:rPr>
          <w:rFonts w:ascii="Arial" w:cs="Arial" w:eastAsia="Arial" w:hAnsi="Arial"/>
          <w:sz w:val="24"/>
          <w:szCs w:val="24"/>
        </w:rPr>
        <w:t xml:space="preserve">- повышение эффективности государственной инвестиционной политики;</w:t>
      </w:r>
    </w:p>
    <w:p>
      <w:pPr>
        <w:spacing w:after="120"/>
        <w:jc w:val="both"/>
      </w:pPr>
      <w:r>
        <w:rPr>
          <w:rFonts w:ascii="Arial" w:cs="Arial" w:eastAsia="Arial" w:hAnsi="Arial"/>
          <w:sz w:val="24"/>
          <w:szCs w:val="24"/>
        </w:rPr>
        <w:t xml:space="preserve">- проведение разумной структурной политики, нацеленной на поддержку долгосрочного макроэкономического равновесия целенаправленными действиями по оптимизации структуры экономики посредством разноплановых мероприятий;</w:t>
      </w:r>
    </w:p>
    <w:p>
      <w:pPr>
        <w:spacing w:after="120"/>
        <w:jc w:val="both"/>
      </w:pPr>
      <w:r>
        <w:rPr>
          <w:rFonts w:ascii="Arial" w:cs="Arial" w:eastAsia="Arial" w:hAnsi="Arial"/>
          <w:sz w:val="24"/>
          <w:szCs w:val="24"/>
        </w:rPr>
        <w:t xml:space="preserve">- продолжение интеграционных процессов в рамках Единого экономического пространства;</w:t>
      </w:r>
    </w:p>
    <w:p>
      <w:pPr>
        <w:spacing w:after="120"/>
        <w:jc w:val="both"/>
      </w:pPr>
      <w:r>
        <w:rPr>
          <w:rFonts w:ascii="Arial" w:cs="Arial" w:eastAsia="Arial" w:hAnsi="Arial"/>
          <w:sz w:val="24"/>
          <w:szCs w:val="24"/>
        </w:rPr>
        <w:t xml:space="preserve">- повышение качества социальных услуг посредством принятия конкретных мер и мероприятий, направленных на жизнеобеспечение населения;</w:t>
      </w:r>
    </w:p>
    <w:p>
      <w:pPr>
        <w:spacing w:after="120"/>
        <w:jc w:val="both"/>
      </w:pPr>
      <w:r>
        <w:rPr>
          <w:rFonts w:ascii="Arial" w:cs="Arial" w:eastAsia="Arial" w:hAnsi="Arial"/>
          <w:sz w:val="24"/>
          <w:szCs w:val="24"/>
        </w:rPr>
        <w:t xml:space="preserve">- сбалансированное региональное развитие.</w:t>
      </w:r>
    </w:p>
    <w:p>
      <w:pPr>
        <w:spacing w:after="120"/>
        <w:jc w:val="both"/>
      </w:pPr>
      <w:r>
        <w:rPr>
          <w:rFonts w:ascii="Arial" w:cs="Arial" w:eastAsia="Arial" w:hAnsi="Arial"/>
          <w:sz w:val="24"/>
          <w:szCs w:val="24"/>
        </w:rPr>
        <w:t xml:space="preserve">Макроэкономическая стабильность будет обеспечена за счет скоординированной денежно-кредитной, налогово-бюджетной и инвестиционной политик, направленных на развитие реального сектора и обеспечения социальных обязательств.</w:t>
      </w:r>
    </w:p>
    <w:p>
      <w:pPr>
        <w:spacing w:after="120"/>
        <w:jc w:val="both"/>
      </w:pPr>
      <w:r>
        <w:rPr>
          <w:rFonts w:ascii="Arial" w:cs="Arial" w:eastAsia="Arial" w:hAnsi="Arial"/>
          <w:sz w:val="24"/>
          <w:szCs w:val="24"/>
        </w:rPr>
        <w:t xml:space="preserve">Достижение и поддержание стабильности цен в среднесрочном периоде остается основной целью денежно-кредитной политики НБКР, направленной на реализацию задач, определенных Национальной стратегией устойчивого развития Кыргызской Республики на 2013-2017 годы.</w:t>
      </w:r>
    </w:p>
    <w:p>
      <w:pPr>
        <w:spacing w:after="120"/>
        <w:jc w:val="both"/>
      </w:pPr>
      <w:r>
        <w:rPr>
          <w:rFonts w:ascii="Arial" w:cs="Arial" w:eastAsia="Arial" w:hAnsi="Arial"/>
          <w:sz w:val="24"/>
          <w:szCs w:val="24"/>
        </w:rPr>
        <w:t xml:space="preserve">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Исторические эпизоды всплеска цен имели, главным образом, немонетарную природу. В этих условиях ценовую ситуацию в перспективе будут предопределять, в большей степени, такие факторы, как структурные реформы сельскохозяйственного сектора, повышение производственного потенциала, изменения во внешнеэкономической конъюнктуре, административно устанавливаемые тарифы, изменения в показателях государственного бюджета.</w:t>
      </w:r>
    </w:p>
    <w:p>
      <w:pPr>
        <w:spacing w:after="120"/>
        <w:jc w:val="both"/>
      </w:pPr>
      <w:r>
        <w:rPr>
          <w:rFonts w:ascii="Arial" w:cs="Arial" w:eastAsia="Arial" w:hAnsi="Arial"/>
          <w:sz w:val="24"/>
          <w:szCs w:val="24"/>
        </w:rPr>
        <w:t xml:space="preserve">Денежно-кредитная политика будет нацелена на удержание инфляции около 7% в среднесрочном периоде. Важными факторами ценовой стабильности являются сохранение умеренного роста цен на продовольственные товары, снижение накопленных инфляционных ожиданий населения и отсутствие существенных внешних и внутренних шоков спроса и предложения. В случае усиления инфляционного давления, вызванного шоками ценового характера, и если шоки будут продолжительными, НБКР будет ужесточать проводимую денежно-кредитную политику, направленную на ограничение монетарной составляющей инфляции.</w:t>
      </w:r>
    </w:p>
    <w:p>
      <w:pPr>
        <w:spacing w:after="120"/>
        <w:jc w:val="both"/>
      </w:pPr>
      <w:r>
        <w:rPr>
          <w:rFonts w:ascii="Arial" w:cs="Arial" w:eastAsia="Arial" w:hAnsi="Arial"/>
          <w:sz w:val="24"/>
          <w:szCs w:val="24"/>
        </w:rPr>
        <w:t xml:space="preserve">В рамках дальнейшего повышения эффективности проводимой денежно-кредитной политики будет продолжена работа по совершенствованию и модернизации инструментов денежно-кредитной политики, что в среднесрочной перспективе должно усилить работу процентного трансмиссионного канала и влияние ключевой процентной ставки НБКР на рыночные ставки. В этих целях будет изменен механизм определения учетной ставки НБКР, внедрены новые инструменты предоставления и стерилизации ликвидности. Роль коммуникационной политики НБКР будет усилена с целью повышения прозрачности проводимой денежно-кредитной политики, информирования общественности и формирования адекватных инфляционных ожиданий у населения. Общественности будет заблаговременно представлен график заседаний Правления НБКР по вопросам денежно-кредитной политики на год, на регулярной основе будут выпускаться пресс-релизы по итогам обсуждений этих вопросов.</w:t>
      </w:r>
    </w:p>
    <w:p>
      <w:pPr>
        <w:spacing w:after="120"/>
        <w:jc w:val="both"/>
      </w:pPr>
      <w:r>
        <w:rPr>
          <w:rFonts w:ascii="Arial" w:cs="Arial" w:eastAsia="Arial" w:hAnsi="Arial"/>
          <w:sz w:val="24"/>
          <w:szCs w:val="24"/>
        </w:rPr>
        <w:t xml:space="preserve">Будет продолжена работа по организации и проведению экономических исследований в области денежно-кредитной политики и макроэкономического моделирования, в том числе в сотрудничестве с исследовательскими институтами, международными организациями и иностранными центральными банками, для улучшения возможности НБКР в достижении целей денежно-кредитной политики и промежуточных целевых ориентиров.</w:t>
      </w:r>
    </w:p>
    <w:p>
      <w:pPr>
        <w:spacing w:after="120"/>
        <w:jc w:val="both"/>
      </w:pPr>
      <w:r>
        <w:rPr>
          <w:rFonts w:ascii="Arial" w:cs="Arial" w:eastAsia="Arial" w:hAnsi="Arial"/>
          <w:sz w:val="24"/>
          <w:szCs w:val="24"/>
        </w:rPr>
        <w:t xml:space="preserve">НБКР продолжит придерживаться принятого Кыргызской Республикой режима плавающего обменного курса и осуществлять интервенции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Операции по покупке золота на внутреннем рынке страны за национальную валюту будут осуществляться в целях пополнения объема международных резервов с учетом ситуации на мировых финансовых рынках.</w:t>
      </w:r>
    </w:p>
    <w:p>
      <w:pPr>
        <w:spacing w:after="120"/>
        <w:jc w:val="both"/>
      </w:pPr>
      <w:r>
        <w:rPr>
          <w:rFonts w:ascii="Arial" w:cs="Arial" w:eastAsia="Arial" w:hAnsi="Arial"/>
          <w:sz w:val="24"/>
          <w:szCs w:val="24"/>
        </w:rPr>
        <w:t xml:space="preserve">С целью усиления передаточного механизма денежно-кредитной политики НБКР будут проводиться мероприятия по повышению доли безналичной составляющей денег в экономике. В этом направлении НБКР продолжит осуществлять дальнейшую координацию и контроль за реализацией мероприятий Государственной программы по увеличению доли безналичных платежей и расчетов в Кыргызской Республике на 2012-2017 годы. В условиях развития и применения инновационных форм деятельности в сфере платежей и расчетов будет продолжена работа по совершенствованию правового регулирования рынка платежных услуг и поэтапное внедрение системы наблюдения за платежными инструментами и платежными системами, операторами которых являются нефинансовые организации.</w:t>
      </w:r>
    </w:p>
    <w:p>
      <w:pPr>
        <w:spacing w:after="120"/>
        <w:jc w:val="both"/>
      </w:pPr>
      <w:r>
        <w:rPr>
          <w:rFonts w:ascii="Arial" w:cs="Arial" w:eastAsia="Arial" w:hAnsi="Arial"/>
          <w:sz w:val="24"/>
          <w:szCs w:val="24"/>
        </w:rPr>
        <w:t xml:space="preserve">В рамках правовой реформы НБКР намерен продолжить работу по систематизации и гармонизации банковского законодательства Кыргызской Республики. Для этого будут осуществляться мероприятия по продвижению проекта Банковского кодекса Кыргызской Республики, принятие которого позволит вывести банковское законодательство Кыргызской Республики на качественно новый уровень, установить четкое правовое регулирование отношений, возникающих при осуществлении и регулировании банковской деятельности, что приведет к повышению доверия населения, внутренних и внешних инвесторов к банковской системе Кыргызской Республики.</w:t>
      </w:r>
    </w:p>
    <w:p>
      <w:pPr>
        <w:spacing w:after="120"/>
        <w:jc w:val="both"/>
      </w:pPr>
      <w:r>
        <w:rPr>
          <w:rFonts w:ascii="Arial" w:cs="Arial" w:eastAsia="Arial" w:hAnsi="Arial"/>
          <w:sz w:val="24"/>
          <w:szCs w:val="24"/>
        </w:rPr>
        <w:t xml:space="preserve">С принятием новой редакции Закона Кыргызской Республики "О противодействии финансированию терроризма и легализации (отмыванию) доходов, полученных преступным путем" НБКР проведет работу по приведению в соответствие с ним нормативной базы НБКР по регулированию банков и небанковских финансово-кредитных учреждений по вопросам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целях сохранения стабильности и целостности банковской системы будет продолжена работа по реализации мероприятий по развитию конкурентной среды, укреплению доверия к банковскому сектору, а также внедрению принципов системы раннего реагирования на основе риск-ориентированного надзора и применения комплексной оценки деятельности коммерческих банков, включающей оценку управления и системы внутреннего контроля. В 2014 году НБКР также будет продолжена работа по подготовке Национальной программы повышения уровня финансовой грамотности и совершенствованию нормативной правовой базы по обеспечению защиты прав потребителей банковских услуг.</w:t>
      </w:r>
    </w:p>
    <w:p>
      <w:pPr>
        <w:spacing w:after="120"/>
        <w:jc w:val="both"/>
      </w:pPr>
      <w:r>
        <w:rPr>
          <w:rFonts w:ascii="Arial" w:cs="Arial" w:eastAsia="Arial" w:hAnsi="Arial"/>
          <w:sz w:val="24"/>
          <w:szCs w:val="24"/>
        </w:rPr>
        <w:t xml:space="preserve">В случае пересмотра тарифной политики Правительства, существенного изменения ситуации на мировых товарно-сырьевых рынках, в инвестиционной политике и секторе государственных финансов оценка инфляции может быть пересмотрена.</w:t>
      </w:r>
    </w:p>
    <w:p>
      <w:pPr>
        <w:spacing w:after="120"/>
        <w:jc w:val="both"/>
      </w:pPr>
      <w:r>
        <w:rPr>
          <w:rFonts w:ascii="Arial" w:cs="Arial" w:eastAsia="Arial" w:hAnsi="Arial"/>
          <w:sz w:val="24"/>
          <w:szCs w:val="24"/>
        </w:rPr>
        <w:t xml:space="preserve">В рамках проведения налогово-бюджетной политики основным направлением является создание эффективной системы фискального регулирования в условиях перехода Кыргызской Республики к устойчивому развитию.</w:t>
      </w:r>
    </w:p>
    <w:p>
      <w:pPr>
        <w:spacing w:after="120"/>
        <w:jc w:val="both"/>
      </w:pPr>
      <w:r>
        <w:rPr>
          <w:rFonts w:ascii="Arial" w:cs="Arial" w:eastAsia="Arial" w:hAnsi="Arial"/>
          <w:sz w:val="24"/>
          <w:szCs w:val="24"/>
        </w:rPr>
        <w:t xml:space="preserve">Основными направлениями налоговой политики в 2014 году будут реализация таких мер, как:</w:t>
      </w:r>
    </w:p>
    <w:p>
      <w:pPr>
        <w:spacing w:after="120"/>
        <w:jc w:val="both"/>
      </w:pPr>
      <w:r>
        <w:rPr>
          <w:rFonts w:ascii="Arial" w:cs="Arial" w:eastAsia="Arial" w:hAnsi="Arial"/>
          <w:sz w:val="24"/>
          <w:szCs w:val="24"/>
        </w:rPr>
        <w:t xml:space="preserve">- выравнивание налоговой нагрузки и улучшение инвестиционного климата;</w:t>
      </w:r>
    </w:p>
    <w:p>
      <w:pPr>
        <w:spacing w:after="120"/>
        <w:jc w:val="both"/>
      </w:pPr>
      <w:r>
        <w:rPr>
          <w:rFonts w:ascii="Arial" w:cs="Arial" w:eastAsia="Arial" w:hAnsi="Arial"/>
          <w:sz w:val="24"/>
          <w:szCs w:val="24"/>
        </w:rPr>
        <w:t xml:space="preserve">- обеспечение полноты сбора налогов;</w:t>
      </w:r>
    </w:p>
    <w:p>
      <w:pPr>
        <w:spacing w:after="120"/>
        <w:jc w:val="both"/>
      </w:pPr>
      <w:r>
        <w:rPr>
          <w:rFonts w:ascii="Arial" w:cs="Arial" w:eastAsia="Arial" w:hAnsi="Arial"/>
          <w:sz w:val="24"/>
          <w:szCs w:val="24"/>
        </w:rPr>
        <w:t xml:space="preserve">- модернизация налоговой и таможенной служб;</w:t>
      </w:r>
    </w:p>
    <w:p>
      <w:pPr>
        <w:spacing w:after="120"/>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120"/>
        <w:jc w:val="both"/>
      </w:pPr>
      <w:r>
        <w:rPr>
          <w:rFonts w:ascii="Arial" w:cs="Arial" w:eastAsia="Arial" w:hAnsi="Arial"/>
          <w:sz w:val="24"/>
          <w:szCs w:val="24"/>
        </w:rPr>
        <w:t xml:space="preserve">Налоговая политика будет направлена на обеспечение полноты поступления налогов, создание эффективной системы управления. Для этого будут проводиться налоговые реформы в среднесрочном периоде, а именно:</w:t>
      </w:r>
    </w:p>
    <w:p>
      <w:pPr>
        <w:spacing w:after="120"/>
        <w:jc w:val="both"/>
      </w:pPr>
      <w:r>
        <w:rPr>
          <w:rFonts w:ascii="Arial" w:cs="Arial" w:eastAsia="Arial" w:hAnsi="Arial"/>
          <w:sz w:val="24"/>
          <w:szCs w:val="24"/>
        </w:rPr>
        <w:t xml:space="preserve">- применение унифицированного и упрощенного налогообложения с точки зрения его администрирования, стимулирующего легальный бизнес;</w:t>
      </w:r>
    </w:p>
    <w:p>
      <w:pPr>
        <w:spacing w:after="120"/>
        <w:jc w:val="both"/>
      </w:pPr>
      <w:r>
        <w:rPr>
          <w:rFonts w:ascii="Arial" w:cs="Arial" w:eastAsia="Arial" w:hAnsi="Arial"/>
          <w:sz w:val="24"/>
          <w:szCs w:val="24"/>
        </w:rPr>
        <w:t xml:space="preserve">- оптимизация и исключение дублирования НДС и налога с продаж, устранение оборота фиктивных счетов-фактур по НДС, увеличение доходов бюджета путем улучшения администрирования и расширения сферы применения НДС;</w:t>
      </w:r>
    </w:p>
    <w:p>
      <w:pPr>
        <w:spacing w:after="120"/>
        <w:jc w:val="both"/>
      </w:pPr>
      <w:r>
        <w:rPr>
          <w:rFonts w:ascii="Arial" w:cs="Arial" w:eastAsia="Arial" w:hAnsi="Arial"/>
          <w:sz w:val="24"/>
          <w:szCs w:val="24"/>
        </w:rPr>
        <w:t xml:space="preserve">- реформирование малого и среднего предпринимательства путем оптимизации видов экономической деятельности, осуществляемых на основе добровольного и обязательного патентов, постепенного повышения стоимости патентов, а также качественного администрирования;</w:t>
      </w:r>
    </w:p>
    <w:p>
      <w:pPr>
        <w:spacing w:after="120"/>
        <w:jc w:val="both"/>
      </w:pPr>
      <w:r>
        <w:rPr>
          <w:rFonts w:ascii="Arial" w:cs="Arial" w:eastAsia="Arial" w:hAnsi="Arial"/>
          <w:sz w:val="24"/>
          <w:szCs w:val="24"/>
        </w:rPr>
        <w:t xml:space="preserve">- пересмотр акцизной политики путем постепенного увеличения ставок акцизного налога на алкоголь и табачные изделия и гармонизация ставок акцизного налога со ставками акцизного налога государств-членов ТС;</w:t>
      </w:r>
    </w:p>
    <w:p>
      <w:pPr>
        <w:spacing w:after="120"/>
        <w:jc w:val="both"/>
      </w:pPr>
      <w:r>
        <w:rPr>
          <w:rFonts w:ascii="Arial" w:cs="Arial" w:eastAsia="Arial" w:hAnsi="Arial"/>
          <w:sz w:val="24"/>
          <w:szCs w:val="24"/>
        </w:rPr>
        <w:t xml:space="preserve">- совершенствование налогообложения имущества, направленное на пересмотр ставок для некоторых видов недвижимого и движимого имущества (налог на роскошь);</w:t>
      </w:r>
    </w:p>
    <w:p>
      <w:pPr>
        <w:spacing w:after="120"/>
        <w:jc w:val="both"/>
      </w:pPr>
      <w:r>
        <w:rPr>
          <w:rFonts w:ascii="Arial" w:cs="Arial" w:eastAsia="Arial" w:hAnsi="Arial"/>
          <w:sz w:val="24"/>
          <w:szCs w:val="24"/>
        </w:rPr>
        <w:t xml:space="preserve">- увеличение ставок земельного налога на земли сельскохозяйственного назначения;</w:t>
      </w:r>
    </w:p>
    <w:p>
      <w:pPr>
        <w:spacing w:after="120"/>
        <w:jc w:val="both"/>
      </w:pPr>
      <w:r>
        <w:rPr>
          <w:rFonts w:ascii="Arial" w:cs="Arial" w:eastAsia="Arial" w:hAnsi="Arial"/>
          <w:sz w:val="24"/>
          <w:szCs w:val="24"/>
        </w:rPr>
        <w:t xml:space="preserve">- завершение модернизации и автоматизации налоговой и таможенной служб, обеспечение их гармонизации и интегрированности с Министерством финансов Кыргызской Республики, включая Центральное казначейство.</w:t>
      </w:r>
    </w:p>
    <w:p>
      <w:pPr>
        <w:spacing w:after="120"/>
        <w:jc w:val="both"/>
      </w:pPr>
      <w:r>
        <w:rPr>
          <w:rFonts w:ascii="Arial" w:cs="Arial" w:eastAsia="Arial" w:hAnsi="Arial"/>
          <w:sz w:val="24"/>
          <w:szCs w:val="24"/>
        </w:rPr>
        <w:t xml:space="preserve">Целями политики государственных расходов в 2014 году будут полное и своевременное финансирование социальных гарантий государства, создание благоприятных условий для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Основными задачами бюджетной политики на 2014 год являются:</w:t>
      </w:r>
    </w:p>
    <w:p>
      <w:pPr>
        <w:spacing w:after="120"/>
        <w:jc w:val="both"/>
      </w:pPr>
      <w:r>
        <w:rPr>
          <w:rFonts w:ascii="Arial" w:cs="Arial" w:eastAsia="Arial" w:hAnsi="Arial"/>
          <w:sz w:val="24"/>
          <w:szCs w:val="24"/>
        </w:rPr>
        <w:t xml:space="preserve">- усиление финансовой (бюджетной) дисциплины;</w:t>
      </w:r>
    </w:p>
    <w:p>
      <w:pPr>
        <w:spacing w:after="120"/>
        <w:jc w:val="both"/>
      </w:pPr>
      <w:r>
        <w:rPr>
          <w:rFonts w:ascii="Arial" w:cs="Arial" w:eastAsia="Arial" w:hAnsi="Arial"/>
          <w:sz w:val="24"/>
          <w:szCs w:val="24"/>
        </w:rPr>
        <w:t xml:space="preserve">- внедрение механизмов программного бюджетирования;</w:t>
      </w:r>
    </w:p>
    <w:p>
      <w:pPr>
        <w:spacing w:after="120"/>
        <w:jc w:val="both"/>
      </w:pPr>
      <w:r>
        <w:rPr>
          <w:rFonts w:ascii="Arial" w:cs="Arial" w:eastAsia="Arial" w:hAnsi="Arial"/>
          <w:sz w:val="24"/>
          <w:szCs w:val="24"/>
        </w:rPr>
        <w:t xml:space="preserve">- дальнейшее совершенствование системы адресности получения социальных пособий и переход на определение нуждаемости на основе семьи;</w:t>
      </w:r>
    </w:p>
    <w:p>
      <w:pPr>
        <w:spacing w:after="120"/>
        <w:jc w:val="both"/>
      </w:pPr>
      <w:r>
        <w:rPr>
          <w:rFonts w:ascii="Arial" w:cs="Arial" w:eastAsia="Arial" w:hAnsi="Arial"/>
          <w:sz w:val="24"/>
          <w:szCs w:val="24"/>
        </w:rPr>
        <w:t xml:space="preserve">- децентрализация межбюджетных отношений и дальнейшее укрепление финансовой самостоятельности органов местного самоуправления;</w:t>
      </w:r>
    </w:p>
    <w:p>
      <w:pPr>
        <w:spacing w:after="120"/>
        <w:jc w:val="both"/>
      </w:pPr>
      <w:r>
        <w:rPr>
          <w:rFonts w:ascii="Arial" w:cs="Arial" w:eastAsia="Arial" w:hAnsi="Arial"/>
          <w:sz w:val="24"/>
          <w:szCs w:val="24"/>
        </w:rPr>
        <w:t xml:space="preserve">- переход от социально ориентированного бюджета к бюджету развития;</w:t>
      </w:r>
    </w:p>
    <w:p>
      <w:pPr>
        <w:spacing w:after="120"/>
        <w:jc w:val="both"/>
      </w:pPr>
      <w:r>
        <w:rPr>
          <w:rFonts w:ascii="Arial" w:cs="Arial" w:eastAsia="Arial" w:hAnsi="Arial"/>
          <w:sz w:val="24"/>
          <w:szCs w:val="24"/>
        </w:rPr>
        <w:t xml:space="preserve">- обеспечение эффективного управления государственными имуществом и активами.</w:t>
      </w:r>
    </w:p>
    <w:p>
      <w:pPr>
        <w:spacing w:after="120"/>
        <w:jc w:val="both"/>
      </w:pPr>
      <w:r>
        <w:rPr>
          <w:rFonts w:ascii="Arial" w:cs="Arial" w:eastAsia="Arial" w:hAnsi="Arial"/>
          <w:sz w:val="24"/>
          <w:szCs w:val="24"/>
        </w:rPr>
        <w:t xml:space="preserve">Основными направлениями бюджетной политики на 2014 год являются:</w:t>
      </w:r>
    </w:p>
    <w:p>
      <w:pPr>
        <w:spacing w:after="120"/>
        <w:jc w:val="both"/>
      </w:pPr>
      <w:r>
        <w:rPr>
          <w:rFonts w:ascii="Arial" w:cs="Arial" w:eastAsia="Arial" w:hAnsi="Arial"/>
          <w:sz w:val="24"/>
          <w:szCs w:val="24"/>
        </w:rPr>
        <w:t xml:space="preserve">- повышение эффективности использования государственных ресурсов;</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уменьшение межрегиональной дифференциации уровня жизни населения;</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активизация инвестиционного процесса.</w:t>
      </w:r>
    </w:p>
    <w:p>
      <w:pPr>
        <w:spacing w:after="120"/>
        <w:jc w:val="both"/>
      </w:pPr>
      <w:r>
        <w:rPr>
          <w:rFonts w:ascii="Arial" w:cs="Arial" w:eastAsia="Arial" w:hAnsi="Arial"/>
          <w:sz w:val="24"/>
          <w:szCs w:val="24"/>
        </w:rPr>
        <w:t xml:space="preserve">Будет продолжена работа по совершенствованию формата и процедур разработки Среднесрочного прогноза бюджета, определяющего бюджетную политику страны, а также внедрению элементов программного бюджетирования, позволяющего повысить эффективность и прозрачность расходования бюджетных средств.</w:t>
      </w:r>
    </w:p>
    <w:p>
      <w:pPr>
        <w:spacing w:after="120"/>
        <w:jc w:val="both"/>
      </w:pPr>
      <w:r>
        <w:rPr>
          <w:rFonts w:ascii="Arial" w:cs="Arial" w:eastAsia="Arial" w:hAnsi="Arial"/>
          <w:sz w:val="24"/>
          <w:szCs w:val="24"/>
        </w:rPr>
        <w:t xml:space="preserve">Для эффективного управления государственными финансами будут приняты меры по реализации Среднесрочного плана действий по реформированию системы управления государственными финансами Кыргызской Республики на 2012-2015 годы, утвержденного </w:t>
      </w:r>
      <w:hyperlink w:history="1" r:id="rIdhosb7byc2x6awfz3xcl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3 октября 2012 года № 675.</w:t>
      </w:r>
    </w:p>
    <w:p>
      <w:pPr>
        <w:spacing w:after="120"/>
        <w:jc w:val="both"/>
      </w:pPr>
      <w:r>
        <w:rPr>
          <w:rFonts w:ascii="Arial" w:cs="Arial" w:eastAsia="Arial" w:hAnsi="Arial"/>
          <w:sz w:val="24"/>
          <w:szCs w:val="24"/>
        </w:rPr>
        <w:t xml:space="preserve">В рамках реформирования системы управления государственными финансами будет продолжена работа по продвижению проекта Бюджетного кодекса Кыргызской Республики, проведена работа по автоматизации бюджетного процесса и совершенствованию системы межбюджетных отношений.</w:t>
      </w:r>
    </w:p>
    <w:p>
      <w:pPr>
        <w:spacing w:after="120"/>
        <w:jc w:val="both"/>
      </w:pPr>
      <w:r>
        <w:rPr>
          <w:rFonts w:ascii="Arial" w:cs="Arial" w:eastAsia="Arial" w:hAnsi="Arial"/>
          <w:sz w:val="24"/>
          <w:szCs w:val="24"/>
        </w:rPr>
        <w:t xml:space="preserve">В целях эффективного управления государственными финансами постепенно будет внедряться механизм результативности бюджетных затрат, предполагающий планирование и использование бюджетных расходов под конкретные программы и проекты. Это позволит направить освободившиеся средства на развитие экономики, что в последующем приведет к росту поступления доходов.</w:t>
      </w:r>
    </w:p>
    <w:p>
      <w:pPr>
        <w:spacing w:after="120"/>
        <w:jc w:val="both"/>
      </w:pPr>
      <w:r>
        <w:rPr>
          <w:rFonts w:ascii="Arial" w:cs="Arial" w:eastAsia="Arial" w:hAnsi="Arial"/>
          <w:sz w:val="24"/>
          <w:szCs w:val="24"/>
        </w:rPr>
        <w:t xml:space="preserve">По Программе государственных инвестиций работа будет направлена на сокращение и переориентацию государственных инвестиций. При этом предпочтение будет отдаваться проектам, обладающим наибольшей финансовой, экономической и социальной эффективностью. Существенно усилится мониторинг реализации проектов государственных инвестиций (как на кредитной, так и грантовой основе), процесса отбора инвестиционных проектов.</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сохранения устойчивого уровня государственного долга и постепенного снижения бремени долга, в том числе за счет оптимизации внешних заимствований при одновременном соблюдении установленного графика выплат по внешнему долгу.</w:t>
      </w:r>
    </w:p>
    <w:p>
      <w:pPr>
        <w:spacing w:after="120"/>
        <w:jc w:val="both"/>
      </w:pPr>
      <w:r>
        <w:rPr>
          <w:rFonts w:ascii="Arial" w:cs="Arial" w:eastAsia="Arial" w:hAnsi="Arial"/>
          <w:sz w:val="24"/>
          <w:szCs w:val="24"/>
        </w:rPr>
        <w:t xml:space="preserve">В рамках действующей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предполагается:</w:t>
      </w:r>
    </w:p>
    <w:p>
      <w:pPr>
        <w:spacing w:after="120"/>
        <w:jc w:val="both"/>
      </w:pPr>
      <w:r>
        <w:rPr>
          <w:rFonts w:ascii="Arial" w:cs="Arial" w:eastAsia="Arial" w:hAnsi="Arial"/>
          <w:sz w:val="24"/>
          <w:szCs w:val="24"/>
        </w:rPr>
        <w:t xml:space="preserve">- уменьшение бремени государственного внешнего долга;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рассмотрение возможности дальнейшей реструктуризации внешнего долга;</w:t>
      </w:r>
    </w:p>
    <w:p>
      <w:pPr>
        <w:spacing w:after="120"/>
        <w:jc w:val="both"/>
      </w:pPr>
      <w:r>
        <w:rPr>
          <w:rFonts w:ascii="Arial" w:cs="Arial" w:eastAsia="Arial" w:hAnsi="Arial"/>
          <w:sz w:val="24"/>
          <w:szCs w:val="24"/>
        </w:rPr>
        <w:t xml:space="preserve">- проведение конверсионных операций с двусторонними кредиторами;</w:t>
      </w:r>
    </w:p>
    <w:p>
      <w:pPr>
        <w:spacing w:after="120"/>
        <w:jc w:val="both"/>
      </w:pPr>
      <w:r>
        <w:rPr>
          <w:rFonts w:ascii="Arial" w:cs="Arial" w:eastAsia="Arial" w:hAnsi="Arial"/>
          <w:sz w:val="24"/>
          <w:szCs w:val="24"/>
        </w:rPr>
        <w:t xml:space="preserve">- привлечение льготных внешних кредитов с грант-элементом не менее 35% на реализацию эффективных и экономически обоснованных проектов;</w:t>
      </w:r>
    </w:p>
    <w:p>
      <w:pPr>
        <w:spacing w:after="120"/>
        <w:jc w:val="both"/>
      </w:pPr>
      <w:r>
        <w:rPr>
          <w:rFonts w:ascii="Arial" w:cs="Arial" w:eastAsia="Arial" w:hAnsi="Arial"/>
          <w:sz w:val="24"/>
          <w:szCs w:val="24"/>
        </w:rPr>
        <w:t xml:space="preserve">- расширение круга держателей государственных ценных бумаг посредством развития как первичного, так и вторичного рынка государственных ценных бумаг;</w:t>
      </w:r>
    </w:p>
    <w:p>
      <w:pPr>
        <w:spacing w:after="120"/>
        <w:jc w:val="both"/>
      </w:pPr>
      <w:r>
        <w:rPr>
          <w:rFonts w:ascii="Arial" w:cs="Arial" w:eastAsia="Arial" w:hAnsi="Arial"/>
          <w:sz w:val="24"/>
          <w:szCs w:val="24"/>
        </w:rPr>
        <w:t xml:space="preserve">- рост объема внутренних заимствований посредством выпуска и размещения государственных ценных бумаг.</w:t>
      </w:r>
    </w:p>
    <w:p>
      <w:pPr>
        <w:spacing w:after="120"/>
        <w:jc w:val="both"/>
      </w:pPr>
      <w:r>
        <w:rPr>
          <w:rFonts w:ascii="Arial" w:cs="Arial" w:eastAsia="Arial" w:hAnsi="Arial"/>
          <w:sz w:val="24"/>
          <w:szCs w:val="24"/>
        </w:rPr>
        <w:t xml:space="preserve">В рамках проведения инвестиционной политики приоритетными направлениями являются: повышение эффективности государственной инвестиционной политики и формирование механизмов привлечения и поддержки инвестиций, направленных на создание благоприятной инвестиционной среды путем минимизации вмешательства государственных органов в ведение бизнеса и привлечение прямых инвестиций для развития приоритетных отраслей экономики.</w:t>
      </w:r>
    </w:p>
    <w:p>
      <w:pPr>
        <w:spacing w:after="120"/>
        <w:jc w:val="both"/>
      </w:pPr>
      <w:r>
        <w:rPr>
          <w:rFonts w:ascii="Arial" w:cs="Arial" w:eastAsia="Arial" w:hAnsi="Arial"/>
          <w:sz w:val="24"/>
          <w:szCs w:val="24"/>
        </w:rPr>
        <w:t xml:space="preserve">Создание эффективного институционального механизма предполагает создание Агентства по продвижению инвестиций (АПИ), которое будет выступать в качестве координирующего органа и работать по принципу "единого окна", с помощью которого любой потенциальный инвестор сможет получить необходимую информацию и содействие при запуске и реализации проекта.</w:t>
      </w:r>
    </w:p>
    <w:p>
      <w:pPr>
        <w:spacing w:after="120"/>
        <w:jc w:val="both"/>
      </w:pPr>
      <w:r>
        <w:rPr>
          <w:rFonts w:ascii="Arial" w:cs="Arial" w:eastAsia="Arial" w:hAnsi="Arial"/>
          <w:sz w:val="24"/>
          <w:szCs w:val="24"/>
        </w:rPr>
        <w:t xml:space="preserve">В целях стимулирования инвестиций в социально-значимые сектора экономики будет продвигаться использование механизмов государственно-частного партнерства и осуществляться совершенствование законодательства.</w:t>
      </w:r>
    </w:p>
    <w:p>
      <w:pPr>
        <w:spacing w:after="120"/>
        <w:jc w:val="both"/>
      </w:pPr>
      <w:r>
        <w:rPr>
          <w:rFonts w:ascii="Arial" w:cs="Arial" w:eastAsia="Arial" w:hAnsi="Arial"/>
          <w:sz w:val="24"/>
          <w:szCs w:val="24"/>
        </w:rPr>
        <w:t xml:space="preserve">Формирование механизмов привлечения и поддержки инвестиций предполагает разработку критериев определения проектов для получения преференций и стимулов, а также разработку нормативных правовых актов, регулирующих порядок предоставления инвестиционных преференций на основе карты инвестиционных стимулов (КИС), снижение пороговой суммы, требуемой для получения инвестиционной визы, обеспечение стабильности инвестиционного законодательства и другое.</w:t>
      </w:r>
    </w:p>
    <w:p>
      <w:pPr>
        <w:spacing w:after="120"/>
        <w:jc w:val="both"/>
      </w:pPr>
      <w:r>
        <w:rPr>
          <w:rFonts w:ascii="Arial" w:cs="Arial" w:eastAsia="Arial" w:hAnsi="Arial"/>
          <w:sz w:val="24"/>
          <w:szCs w:val="24"/>
        </w:rPr>
        <w:t xml:space="preserve">Для снижения уровня вмешательства государства в регулирование предпринимательской деятельности будет продолжено реформирование государственного регулирования в лицензионно-разрешительной и контрольно-надзорной сферах, в системе технического регулирования через сокращение количества действующих лицензий и разрешений; сокращение избыточных контрольно-надзорных функций; создание обновленного механизма проверок, основанных на системе критериев риска.</w:t>
      </w:r>
    </w:p>
    <w:p>
      <w:pPr>
        <w:spacing w:after="120"/>
        <w:jc w:val="both"/>
      </w:pPr>
      <w:r>
        <w:rPr>
          <w:rFonts w:ascii="Arial" w:cs="Arial" w:eastAsia="Arial" w:hAnsi="Arial"/>
          <w:sz w:val="24"/>
          <w:szCs w:val="24"/>
        </w:rPr>
        <w:t xml:space="preserve">В рамках проведения внешнеэкономической деятельности основной целью является формирование имиджа страны как надежного и стабильного партнера в рамках интеграционных объединений и двустороннего сотрудничества.</w:t>
      </w:r>
    </w:p>
    <w:p>
      <w:pPr>
        <w:spacing w:after="120"/>
        <w:jc w:val="both"/>
      </w:pPr>
      <w:r>
        <w:rPr>
          <w:rFonts w:ascii="Arial" w:cs="Arial" w:eastAsia="Arial" w:hAnsi="Arial"/>
          <w:sz w:val="24"/>
          <w:szCs w:val="24"/>
        </w:rPr>
        <w:t xml:space="preserve">Основными направлениями станут расширение сотрудничества и активное продвижение интересов Кыргызстана в рамках интеграционных объединений и двустороннего сотрудничества, формирование либеральных торгово-экономического отношений, повышение эффективности работы межправительственных торгово-экономических комиссий с учетом экономической целесообразности.</w:t>
      </w:r>
    </w:p>
    <w:p>
      <w:pPr>
        <w:spacing w:after="120"/>
        <w:jc w:val="both"/>
      </w:pPr>
      <w:r>
        <w:rPr>
          <w:rFonts w:ascii="Arial" w:cs="Arial" w:eastAsia="Arial" w:hAnsi="Arial"/>
          <w:sz w:val="24"/>
          <w:szCs w:val="24"/>
        </w:rPr>
        <w:t xml:space="preserve">Интеграция в региональную экономику путем вступления Кыргызской Республики в ТС и ЕЭП является одним из внешнеэкономических приоритетов.</w:t>
      </w:r>
    </w:p>
    <w:p>
      <w:pPr>
        <w:spacing w:after="120"/>
        <w:jc w:val="both"/>
      </w:pPr>
      <w:r>
        <w:rPr>
          <w:rFonts w:ascii="Arial" w:cs="Arial" w:eastAsia="Arial" w:hAnsi="Arial"/>
          <w:sz w:val="24"/>
          <w:szCs w:val="24"/>
        </w:rPr>
        <w:t xml:space="preserve">Кыргызская сторона в лице Межведомственной комиссии при Правительстве по переговорам о присоединении Кыргызской Республики к ТС и ЕЭП продолжит совместную работу с рабочей группой ЕЭК согласно принятому совместному Плану мероприятий по вопросу присоединения Кыргызской Республики к ТС. Кыргызстан будет участвовать в интеграционных процессах с другими государствами с учетом национальных интересов страны и не во вред социальной стабильности в Кыргызстане, будет продолжена работа в данном направлении с Евразийской экономической комиссией для окончательного формирования пунктов и принятия Дорожной карты присоединения Кыргызской Республики к ТС.</w:t>
      </w:r>
    </w:p>
    <w:p>
      <w:pPr>
        <w:spacing w:after="120"/>
        <w:jc w:val="both"/>
      </w:pPr>
      <w:r>
        <w:rPr>
          <w:rFonts w:ascii="Arial" w:cs="Arial" w:eastAsia="Arial" w:hAnsi="Arial"/>
          <w:sz w:val="24"/>
          <w:szCs w:val="24"/>
        </w:rPr>
        <w:t xml:space="preserve">Будет максимально использована возможность дальнейшей интеграции и развития торговых отношений через выстраивание долгосрочных экономических отношений, на принципах обеспечения экономической стабильности и защиты интересов каждой страны.</w:t>
      </w:r>
    </w:p>
    <w:p>
      <w:pPr>
        <w:spacing w:after="120"/>
        <w:jc w:val="both"/>
      </w:pPr>
      <w:r>
        <w:rPr>
          <w:rFonts w:ascii="Arial" w:cs="Arial" w:eastAsia="Arial" w:hAnsi="Arial"/>
          <w:sz w:val="24"/>
          <w:szCs w:val="24"/>
        </w:rPr>
        <w:t xml:space="preserve">Согласованное проведение денежно-кредитной, налогово-бюджетной, инвестиционной и внешнеэкономической политик обеспечит положительную динамику и создаст условия устойчивому росту реального сектора экономики.</w:t>
      </w:r>
    </w:p>
    <w:p>
      <w:pPr>
        <w:spacing w:after="120"/>
        <w:jc w:val="both"/>
      </w:pPr>
      <w:r>
        <w:rPr>
          <w:rFonts w:ascii="Arial" w:cs="Arial" w:eastAsia="Arial" w:hAnsi="Arial"/>
          <w:sz w:val="24"/>
          <w:szCs w:val="24"/>
        </w:rPr>
        <w:t xml:space="preserve">В 2014 году экономическое развитие будет выстраиваться на основе сложившейся сегодня экономической базы, с выходом на устойчивые позиции в развитии через продвижение приоритетных инвестиционных проектов в отраслях экономики с учетом ориентиров Национальной стратегии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Для развития промышленного производства будет продолжена реализация Программы развития обрабатывающей промышленности Кыргызской Республики на 2013-2015 годы (</w:t>
      </w:r>
      <w:hyperlink w:history="1" r:id="rIdsklkusk7ycpy9zxupgs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марта 2013 года № 133), Программы развития текстильного и швейного производства Кыргызской Республики на 2013-2015 годы (</w:t>
      </w:r>
      <w:hyperlink w:history="1" r:id="rId0fucx0woitmyvl60vao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марта 2013 года № 123), Среднесрочной стратегии развития электроэнергетики Кыргызской Республики на 2012-2017 годы (</w:t>
      </w:r>
      <w:hyperlink w:history="1" r:id="rIdrntqn6sxnxcp3umap8o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мая 2012 года № 330).</w:t>
      </w:r>
    </w:p>
    <w:p>
      <w:pPr>
        <w:spacing w:after="120"/>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простаивающим предприятиям, предприятиям с государственной долей участия, действующим предприятиям и запуску новых производств.</w:t>
      </w:r>
    </w:p>
    <w:p>
      <w:pPr>
        <w:spacing w:after="120"/>
        <w:jc w:val="both"/>
      </w:pPr>
      <w:r>
        <w:rPr>
          <w:rFonts w:ascii="Arial" w:cs="Arial" w:eastAsia="Arial" w:hAnsi="Arial"/>
          <w:sz w:val="24"/>
          <w:szCs w:val="24"/>
        </w:rPr>
        <w:t xml:space="preserve">Будут продолжены отработки месторождений золота Кумтор, Макмал, Солтон-Сары, Тереккан. Для обеспечения устойчивого экономического роста и снижения влияния проекта "Кумтор" будет продолжена диверсификация через запуск новых месторождений и производств. Начнется реализация таких инвестиционных проектов, как: запуск в эксплуатацию месторождений золота Бозымчак, Талдыбулак Левобережный, Иштамберды, которые позволят увеличить производство золота; ввод в эксплуатацию и наращивание объемов нефтеперерабатывающего завода ОсОО "Чайна Петроль Компани "Джунда" и Токмокского нефтеперерабатывающего завода, что позволит создать дополнительные рабочие места и обеспечить бесперебойную поставку горюче-смазочных материалов в отрасли экономики и населению.</w:t>
      </w:r>
    </w:p>
    <w:p>
      <w:pPr>
        <w:spacing w:after="120"/>
        <w:jc w:val="both"/>
      </w:pPr>
      <w:r>
        <w:rPr>
          <w:rFonts w:ascii="Arial" w:cs="Arial" w:eastAsia="Arial" w:hAnsi="Arial"/>
          <w:sz w:val="24"/>
          <w:szCs w:val="24"/>
        </w:rPr>
        <w:t xml:space="preserve">Наращивание объемов производства ОсОО "Интергласс" позволит достичь его проектную производственную мощность. Увеличение добычи сырья для производства строительных материалов в соответствии с динамикой спроса на внутреннем рынке и замещение импорта позволит развития мощностей ЗАО "Южно Кыргызский Цемент", ОсОО "Южный комбинат строительных материалов", ОАО "Кантский цементный завод", ОсОО "Ак-Сай Цемент".</w:t>
      </w:r>
    </w:p>
    <w:p>
      <w:pPr>
        <w:spacing w:after="120"/>
        <w:jc w:val="both"/>
      </w:pPr>
      <w:r>
        <w:rPr>
          <w:rFonts w:ascii="Arial" w:cs="Arial" w:eastAsia="Arial" w:hAnsi="Arial"/>
          <w:sz w:val="24"/>
          <w:szCs w:val="24"/>
        </w:rPr>
        <w:t xml:space="preserve">Будут разработаны Программа развития пищевой и перерабатывающей промышленности на 2014-2018 годы и Стратегия развития горнодобывающей отрасли Кыргызской Республики до 2020 года.</w:t>
      </w:r>
    </w:p>
    <w:p>
      <w:pPr>
        <w:spacing w:after="120"/>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повышение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w:t>
      </w:r>
    </w:p>
    <w:p>
      <w:pPr>
        <w:spacing w:after="120"/>
        <w:jc w:val="both"/>
      </w:pPr>
      <w:r>
        <w:rPr>
          <w:rFonts w:ascii="Arial" w:cs="Arial" w:eastAsia="Arial" w:hAnsi="Arial"/>
          <w:sz w:val="24"/>
          <w:szCs w:val="24"/>
        </w:rPr>
        <w:t xml:space="preserve">- создание эффективных систем управления сельским хозяйством и подготовки кадров, предпосылок для концентрации сельскохозяйственного производства;</w:t>
      </w:r>
    </w:p>
    <w:p>
      <w:pPr>
        <w:spacing w:after="120"/>
        <w:jc w:val="both"/>
      </w:pPr>
      <w:r>
        <w:rPr>
          <w:rFonts w:ascii="Arial" w:cs="Arial" w:eastAsia="Arial" w:hAnsi="Arial"/>
          <w:sz w:val="24"/>
          <w:szCs w:val="24"/>
        </w:rPr>
        <w:t xml:space="preserve">- поддержка роста производства и экспорта агропромышленной продукции;</w:t>
      </w:r>
    </w:p>
    <w:p>
      <w:pPr>
        <w:spacing w:after="120"/>
        <w:jc w:val="both"/>
      </w:pPr>
      <w:r>
        <w:rPr>
          <w:rFonts w:ascii="Arial" w:cs="Arial" w:eastAsia="Arial" w:hAnsi="Arial"/>
          <w:sz w:val="24"/>
          <w:szCs w:val="24"/>
        </w:rPr>
        <w:t xml:space="preserve">- обеспечение сельскохозяйственного производства сервисными услугами;</w:t>
      </w:r>
    </w:p>
    <w:p>
      <w:pPr>
        <w:spacing w:after="120"/>
        <w:jc w:val="both"/>
      </w:pPr>
      <w:r>
        <w:rPr>
          <w:rFonts w:ascii="Arial" w:cs="Arial" w:eastAsia="Arial" w:hAnsi="Arial"/>
          <w:sz w:val="24"/>
          <w:szCs w:val="24"/>
        </w:rPr>
        <w:t xml:space="preserve">-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роста объемов производства агропромышленной продукции будет оказываться содействие в увеличении доступности финансовых, материально-технических ресурсов, расширении рынков сбыта продукции. Для этого будет продолжено предоставление льгот при доступе к финансовым ресурсам. Доступ к кредитным средствам будет обеспечиваться реализацией правительственной программы льготного кредитования фермеров и перерабатывающих предприятий "Финансирование сельского хозяйства".</w:t>
      </w:r>
    </w:p>
    <w:p>
      <w:pPr>
        <w:spacing w:after="120"/>
        <w:jc w:val="both"/>
      </w:pPr>
      <w:r>
        <w:rPr>
          <w:rFonts w:ascii="Arial" w:cs="Arial" w:eastAsia="Arial" w:hAnsi="Arial"/>
          <w:sz w:val="24"/>
          <w:szCs w:val="24"/>
        </w:rPr>
        <w:t xml:space="preserve">Важным направлением станет содействие росту производства экологически чистой растениеводческой и животноводческой продукции, с использованием технологий органического сельского хозяйства, разработкой и принятием соответствующих нормативных правовых актов.</w:t>
      </w:r>
    </w:p>
    <w:p>
      <w:pPr>
        <w:spacing w:after="120"/>
        <w:jc w:val="both"/>
      </w:pPr>
      <w:r>
        <w:rPr>
          <w:rFonts w:ascii="Arial" w:cs="Arial" w:eastAsia="Arial" w:hAnsi="Arial"/>
          <w:sz w:val="24"/>
          <w:szCs w:val="24"/>
        </w:rPr>
        <w:t xml:space="preserve">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улучшению учета племенных животных, поддержке развития агротехнологий. Для этого будет продолжена работа по повышению эффективности работы созданных семеноводческих и племенных хозяйств, а также по искусственному осеменению сельскохозяйственных животных.</w:t>
      </w:r>
    </w:p>
    <w:p>
      <w:pPr>
        <w:spacing w:after="120"/>
        <w:jc w:val="both"/>
      </w:pPr>
      <w:r>
        <w:rPr>
          <w:rFonts w:ascii="Arial" w:cs="Arial" w:eastAsia="Arial" w:hAnsi="Arial"/>
          <w:sz w:val="24"/>
          <w:szCs w:val="24"/>
        </w:rPr>
        <w:t xml:space="preserve">Развитие кооперативов будет поддерживаться совершенствованием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 принятием Государственной программ развития кооперативов в сельском хозяйстве Кыргызской Республики и Государственной программы сохранения и повышения плодородия почвы в Кыргызской Республике.</w:t>
      </w:r>
    </w:p>
    <w:p>
      <w:pPr>
        <w:spacing w:after="120"/>
        <w:jc w:val="both"/>
      </w:pPr>
      <w:r>
        <w:rPr>
          <w:rFonts w:ascii="Arial" w:cs="Arial" w:eastAsia="Arial" w:hAnsi="Arial"/>
          <w:sz w:val="24"/>
          <w:szCs w:val="24"/>
        </w:rPr>
        <w:t xml:space="preserve">Основной целью развития строительного сектора является создание условий для привлечения капитальных вложений в экономику и социальную сферу, с учетом требований по применению безопасных для жизнедеятельности граждан градостроительных и архитектурно-строительных решений.</w:t>
      </w:r>
    </w:p>
    <w:p>
      <w:pPr>
        <w:spacing w:after="120"/>
        <w:jc w:val="both"/>
      </w:pPr>
      <w:r>
        <w:rPr>
          <w:rFonts w:ascii="Arial" w:cs="Arial" w:eastAsia="Arial" w:hAnsi="Arial"/>
          <w:sz w:val="24"/>
          <w:szCs w:val="24"/>
        </w:rPr>
        <w:t xml:space="preserve">В 2014 году объемы капитальных вложений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жилищного строительства, а также на строительство и реконструкцию автодорог и ГЭС в республике.</w:t>
      </w:r>
    </w:p>
    <w:p>
      <w:pPr>
        <w:spacing w:after="120"/>
        <w:jc w:val="both"/>
      </w:pPr>
      <w:r>
        <w:rPr>
          <w:rFonts w:ascii="Arial" w:cs="Arial" w:eastAsia="Arial" w:hAnsi="Arial"/>
          <w:sz w:val="24"/>
          <w:szCs w:val="24"/>
        </w:rPr>
        <w:t xml:space="preserve">Основными направлениями будут обеспечение населенных пунктов градостроительной документацией, оптимизация текущей деятельности посредством разработки и внедрения новых нормативных требований в строительстве. Реализация этих направлений позволит обеспечить охват населенных пунктов стройдокументацией, доступность земельных участков под новое строительство; строгое соблюдение планов устройства инженерных сетей, плановость развития инфраструктуры населенных пунктов, транспортных развязок, узлов; разработка более современных требований сейсмической безопасности; реформирование системы ценообразования, адаптированной к современному рынку; формирование более совершенной разрешительной системы в строительстве.</w:t>
      </w:r>
    </w:p>
    <w:p>
      <w:pPr>
        <w:spacing w:after="120"/>
        <w:jc w:val="both"/>
      </w:pPr>
      <w:r>
        <w:rPr>
          <w:rFonts w:ascii="Arial" w:cs="Arial" w:eastAsia="Arial" w:hAnsi="Arial"/>
          <w:sz w:val="24"/>
          <w:szCs w:val="24"/>
        </w:rPr>
        <w:t xml:space="preserve">Приоритетными направлениями в строительстве в 2014 году будут объекты строительства индивидуального жилья; объекты транспортной магистрали (продолжение реализации проектов реабилитации автодорог Бишкек-Нарын-Торугарт (9-272 км, 272-365 км, 365-539 км), Тараз-Талас-Суусамыр (Фаза III), Бишкек-Ош (Фаза IV), Ош-Баткен-Исфана, реализация проекта реабилитации автодороги Исфана-Сулюкта-Худжант (до границы с Республикой Таджикистан, реконструкция аэропортов "Баткен", "Исфана", "Джалал-Абад"), объекты энергетики (строительство Верхне-Нарынского каскада ГЭС, Камбаратинской ГЭС-1, проект "Строительство ЛЭП 500 кВ "Датка-Кемин" и ПС 500 кВ "Кемин", обеспечение пуска 2-го гидроагрегата Камбаратинской ГЭС-2 за счет средств ОАО "Электрические станции", проект "Улучшение электроснабжения гор. Бишкек и гор. Ош"). В 2014 году планируется начать реализацию проекта строительства автомобильной дороги Север-Юг, фаза 1 участки Арал-Кызыл-Жылдыз км (183-195) и Казарман-Джалал-Абад (км 291-433). Будут освоены инвестиции на объектах горнодобывающей промышленности, продолжится реализация мероприятий Государственной программы строительства водохозяйственных объектов и освоения новых орошаемых земель в Кыргызской Республике на 2011-2015 годы (утверждена </w:t>
      </w:r>
      <w:hyperlink w:history="1" r:id="rIdqa71ybs__4syff3vhzh9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16 мая 2011 года № 229).</w:t>
      </w:r>
    </w:p>
    <w:p>
      <w:pPr>
        <w:spacing w:after="120"/>
        <w:jc w:val="both"/>
      </w:pPr>
      <w:r>
        <w:rPr>
          <w:rFonts w:ascii="Arial" w:cs="Arial" w:eastAsia="Arial" w:hAnsi="Arial"/>
          <w:sz w:val="24"/>
          <w:szCs w:val="24"/>
        </w:rPr>
        <w:t xml:space="preserve">Сфера услуг остается основным сектором в формировании ВВП, удельный вес которой в структуре ВВП достигнет почти 50%.</w:t>
      </w:r>
    </w:p>
    <w:p>
      <w:pPr>
        <w:spacing w:after="120"/>
        <w:jc w:val="both"/>
      </w:pPr>
      <w:r>
        <w:rPr>
          <w:rFonts w:ascii="Arial" w:cs="Arial" w:eastAsia="Arial" w:hAnsi="Arial"/>
          <w:sz w:val="24"/>
          <w:szCs w:val="24"/>
        </w:rPr>
        <w:t xml:space="preserve">Основными направлениями развития сектора услуг будут:</w:t>
      </w:r>
    </w:p>
    <w:p>
      <w:pPr>
        <w:spacing w:after="120"/>
        <w:jc w:val="both"/>
      </w:pPr>
      <w:r>
        <w:rPr>
          <w:rFonts w:ascii="Arial" w:cs="Arial" w:eastAsia="Arial" w:hAnsi="Arial"/>
          <w:sz w:val="24"/>
          <w:szCs w:val="24"/>
        </w:rPr>
        <w:t xml:space="preserve">- совершенствование регуляторной политики в области торговли и создание благоприятной бизнес-среды;</w:t>
      </w:r>
    </w:p>
    <w:p>
      <w:pPr>
        <w:spacing w:after="120"/>
        <w:jc w:val="both"/>
      </w:pPr>
      <w:r>
        <w:rPr>
          <w:rFonts w:ascii="Arial" w:cs="Arial" w:eastAsia="Arial" w:hAnsi="Arial"/>
          <w:sz w:val="24"/>
          <w:szCs w:val="24"/>
        </w:rPr>
        <w:t xml:space="preserve">- внедрение современных форм торговли;</w:t>
      </w:r>
    </w:p>
    <w:p>
      <w:pPr>
        <w:spacing w:after="120"/>
        <w:jc w:val="both"/>
      </w:pPr>
      <w:r>
        <w:rPr>
          <w:rFonts w:ascii="Arial" w:cs="Arial" w:eastAsia="Arial" w:hAnsi="Arial"/>
          <w:sz w:val="24"/>
          <w:szCs w:val="24"/>
        </w:rPr>
        <w:t xml:space="preserve">- обеспечение роста доступности потребительских рынков для широкого населения;</w:t>
      </w:r>
    </w:p>
    <w:p>
      <w:pPr>
        <w:spacing w:after="120"/>
        <w:jc w:val="both"/>
      </w:pPr>
      <w:r>
        <w:rPr>
          <w:rFonts w:ascii="Arial" w:cs="Arial" w:eastAsia="Arial" w:hAnsi="Arial"/>
          <w:sz w:val="24"/>
          <w:szCs w:val="24"/>
        </w:rPr>
        <w:t xml:space="preserve">- расширение крупных торговых центров и создание центров приграничной торговли на юге страны - в Лейлекском районе Баткенской области и на севере страны - в селе Чалдовар Жайылского района Чуйской области;</w:t>
      </w:r>
    </w:p>
    <w:p>
      <w:pPr>
        <w:spacing w:after="120"/>
        <w:jc w:val="both"/>
      </w:pPr>
      <w:r>
        <w:rPr>
          <w:rFonts w:ascii="Arial" w:cs="Arial" w:eastAsia="Arial" w:hAnsi="Arial"/>
          <w:sz w:val="24"/>
          <w:szCs w:val="24"/>
        </w:rPr>
        <w:t xml:space="preserve">- обеспечение благоприятных условий при осуществлении пассажирских и грузовых перевозок, создание условий и принятие мер по защите интересов кыргызских автоперевозчиков на международном рынке автотранспортных услуг;</w:t>
      </w:r>
    </w:p>
    <w:p>
      <w:pPr>
        <w:spacing w:after="120"/>
        <w:jc w:val="both"/>
      </w:pPr>
      <w:r>
        <w:rPr>
          <w:rFonts w:ascii="Arial" w:cs="Arial" w:eastAsia="Arial" w:hAnsi="Arial"/>
          <w:sz w:val="24"/>
          <w:szCs w:val="24"/>
        </w:rPr>
        <w:t xml:space="preserve">- улучшение качества предоставляемых услуг и увеличение объема денежных переводов через сеть филиалов государственного предприятия "Кыргызпочтасы" путем внедрения Национальной системы электронных денежных переводов;</w:t>
      </w:r>
    </w:p>
    <w:p>
      <w:pPr>
        <w:spacing w:after="120"/>
        <w:jc w:val="both"/>
      </w:pPr>
      <w:r>
        <w:rPr>
          <w:rFonts w:ascii="Arial" w:cs="Arial" w:eastAsia="Arial" w:hAnsi="Arial"/>
          <w:sz w:val="24"/>
          <w:szCs w:val="24"/>
        </w:rPr>
        <w:t xml:space="preserve">- создание современной цифровой телерадиовещательной системы Кыргызской Республики путем модернизации и замены аналоговых передатчиков и оборудования на цифровые передатчики;</w:t>
      </w:r>
    </w:p>
    <w:p>
      <w:pPr>
        <w:spacing w:after="120"/>
        <w:jc w:val="both"/>
      </w:pPr>
      <w:r>
        <w:rPr>
          <w:rFonts w:ascii="Arial" w:cs="Arial" w:eastAsia="Arial" w:hAnsi="Arial"/>
          <w:sz w:val="24"/>
          <w:szCs w:val="24"/>
        </w:rPr>
        <w:t xml:space="preserve">- создание условий для формирования конкурентоспособного туристского продукта, способного удовлетворять потребности туристов из многих стран.</w:t>
      </w:r>
    </w:p>
    <w:p>
      <w:pPr>
        <w:spacing w:after="120"/>
        <w:jc w:val="both"/>
      </w:pPr>
      <w:r>
        <w:rPr>
          <w:rFonts w:ascii="Arial" w:cs="Arial" w:eastAsia="Arial" w:hAnsi="Arial"/>
          <w:sz w:val="24"/>
          <w:szCs w:val="24"/>
        </w:rPr>
        <w:t xml:space="preserve">Региональное развитие будет направлено на преодоление инфраструктурных и институциональных ограничений, создание равных возможностей гражданам в реализации своих социальных и экономических прав и содействие развитию человеческого потенциала, формирование систем государственного управления и местного самоуправления, определение приоритетов в развитии регионов с учетом их специфики, а также выработки механизмов, позволяющих реализовать такую политику. Будет разработана новая Концепция региональной политики, направленная на диверсификацию экономики регионов через активное развитие предпринимательства и повышение мобильности трудовых ресурсов, повышение эффективности использования собственных ресурсов и рациональное размещение производительных сил.</w:t>
      </w:r>
    </w:p>
    <w:p>
      <w:pPr>
        <w:spacing w:after="120"/>
        <w:jc w:val="both"/>
      </w:pPr>
      <w:r>
        <w:rPr>
          <w:rFonts w:ascii="Arial" w:cs="Arial" w:eastAsia="Arial" w:hAnsi="Arial"/>
          <w:sz w:val="24"/>
          <w:szCs w:val="24"/>
        </w:rPr>
        <w:t xml:space="preserve">Социальная политика будет направлена на продолжение качественного роста человеческого капитала через дальнейшее развитие системы социальной защиты, образования и здравоохранения, совершенствование пенсионной системы.</w:t>
      </w:r>
    </w:p>
    <w:p>
      <w:pPr>
        <w:spacing w:after="120"/>
        <w:jc w:val="both"/>
      </w:pPr>
      <w:r>
        <w:rPr>
          <w:rFonts w:ascii="Arial" w:cs="Arial" w:eastAsia="Arial" w:hAnsi="Arial"/>
          <w:sz w:val="24"/>
          <w:szCs w:val="24"/>
        </w:rPr>
        <w:t xml:space="preserve">Решение вопросов, связанных с человеческим развитием и снижением уровня бедности, будет одним из ключевых направлений государственной политики по переходу к устойчивому развитию. Программным документом в сфере социальной защиты является 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Политика социального развития в 2014 году будет направлена на:</w:t>
      </w:r>
    </w:p>
    <w:p>
      <w:pPr>
        <w:spacing w:after="120"/>
        <w:jc w:val="both"/>
      </w:pPr>
      <w:r>
        <w:rPr>
          <w:rFonts w:ascii="Arial" w:cs="Arial" w:eastAsia="Arial" w:hAnsi="Arial"/>
          <w:sz w:val="24"/>
          <w:szCs w:val="24"/>
        </w:rPr>
        <w:t xml:space="preserve">- обеспечение социальных гарантий и обязательств в полном объеме, включая поддержку социально незащищенных категорий граждан;</w:t>
      </w:r>
    </w:p>
    <w:p>
      <w:pPr>
        <w:spacing w:after="120"/>
        <w:jc w:val="both"/>
      </w:pPr>
      <w:r>
        <w:rPr>
          <w:rFonts w:ascii="Arial" w:cs="Arial" w:eastAsia="Arial" w:hAnsi="Arial"/>
          <w:sz w:val="24"/>
          <w:szCs w:val="24"/>
        </w:rPr>
        <w:t xml:space="preserve">- развитие и эффективное предоставление социальных услуг социально незащищенным категориям граждан, в том числе семьям и детям, находящимся в трудной жизненной ситуации, пожилым гражданам и лицам с ограниченными возможностями здоровья, бездомным;</w:t>
      </w:r>
    </w:p>
    <w:p>
      <w:pPr>
        <w:spacing w:after="120"/>
        <w:jc w:val="both"/>
      </w:pPr>
      <w:r>
        <w:rPr>
          <w:rFonts w:ascii="Arial" w:cs="Arial" w:eastAsia="Arial" w:hAnsi="Arial"/>
          <w:sz w:val="24"/>
          <w:szCs w:val="24"/>
        </w:rPr>
        <w:t xml:space="preserve">- сохранение положительной динамики и дальнейшее развитие системы социального развития.</w:t>
      </w:r>
    </w:p>
    <w:p>
      <w:pPr>
        <w:spacing w:after="120"/>
        <w:jc w:val="both"/>
      </w:pPr>
      <w:r>
        <w:rPr>
          <w:rFonts w:ascii="Arial" w:cs="Arial" w:eastAsia="Arial" w:hAnsi="Arial"/>
          <w:sz w:val="24"/>
          <w:szCs w:val="24"/>
        </w:rPr>
        <w:t xml:space="preserve">В целях повышения качества социальных услуг будет продолжена работа по разработке и внедрению минимальных социальных стандартов и методики расчета стоимости социальных услуг. Кроме того, будет проведена работа по разработке механизмов аккредитации организаций, оказывающих услуги социально незащищенным категориям граждан.</w:t>
      </w:r>
    </w:p>
    <w:p>
      <w:pPr>
        <w:spacing w:after="120"/>
        <w:jc w:val="both"/>
      </w:pPr>
      <w:r>
        <w:rPr>
          <w:rFonts w:ascii="Arial" w:cs="Arial" w:eastAsia="Arial" w:hAnsi="Arial"/>
          <w:sz w:val="24"/>
          <w:szCs w:val="24"/>
        </w:rPr>
        <w:t xml:space="preserve">Для развития альтернативных социальных услуг планируется разработка и внедрение механизма сопровождения семей и детей, находящихся в трудной жизненной ситуации.</w:t>
      </w:r>
    </w:p>
    <w:p>
      <w:pPr>
        <w:spacing w:after="120"/>
        <w:jc w:val="both"/>
      </w:pPr>
      <w:r>
        <w:rPr>
          <w:rFonts w:ascii="Arial" w:cs="Arial" w:eastAsia="Arial" w:hAnsi="Arial"/>
          <w:sz w:val="24"/>
          <w:szCs w:val="24"/>
        </w:rPr>
        <w:t xml:space="preserve">Будет продолжена работа по развитию и внедрению различных форм устройства детей, находящихся в трудной жизненной ситуации (приемные семьи, опека и попечительство, усыновление (удочерение), центры дневного пребывания и т.д.).</w:t>
      </w:r>
    </w:p>
    <w:p>
      <w:pPr>
        <w:spacing w:after="120"/>
        <w:jc w:val="both"/>
      </w:pPr>
      <w:r>
        <w:rPr>
          <w:rFonts w:ascii="Arial" w:cs="Arial" w:eastAsia="Arial" w:hAnsi="Arial"/>
          <w:sz w:val="24"/>
          <w:szCs w:val="24"/>
        </w:rPr>
        <w:t xml:space="preserve">В целях повышения уровня социальной поддержки малообеспеченных семей планируется повышение размера ежемесячного пособия малообеспеченным семьям, имеющим детей, за счет ежегодного роста размера гарантированного минимального дохода на 10%. Также для оказания мер по своевременной и комплексной социальной поддержке семей с детьми будет проведена работа по совершенствованию механизмов социальной паспортизации.</w:t>
      </w:r>
    </w:p>
    <w:p>
      <w:pPr>
        <w:spacing w:after="120"/>
        <w:jc w:val="both"/>
      </w:pPr>
      <w:r>
        <w:rPr>
          <w:rFonts w:ascii="Arial" w:cs="Arial" w:eastAsia="Arial" w:hAnsi="Arial"/>
          <w:sz w:val="24"/>
          <w:szCs w:val="24"/>
        </w:rPr>
        <w:t xml:space="preserve">Будет продолжена работа по оптимизации управления и финансирования детских учреждений интернатного типа. Работа в данном направлении будет проводиться поэтапно.</w:t>
      </w:r>
    </w:p>
    <w:p>
      <w:pPr>
        <w:spacing w:after="120"/>
        <w:jc w:val="both"/>
      </w:pPr>
      <w:r>
        <w:rPr>
          <w:rFonts w:ascii="Arial" w:cs="Arial" w:eastAsia="Arial" w:hAnsi="Arial"/>
          <w:sz w:val="24"/>
          <w:szCs w:val="24"/>
        </w:rPr>
        <w:t xml:space="preserve">Продолжится работа по изменению подходов к определению и решению проблем инвалидности в соответствии с международными стандартами и нормами. Кроме того, будет проводиться работа по реформированию медико-социальной экспертной комиссии (МСЭК). При этом реформа направлена на персональную работу с каждым человеком с ограниченными возможностями здоровья в отдельности.</w:t>
      </w:r>
    </w:p>
    <w:p>
      <w:pPr>
        <w:spacing w:after="120"/>
        <w:jc w:val="both"/>
      </w:pPr>
      <w:r>
        <w:rPr>
          <w:rFonts w:ascii="Arial" w:cs="Arial" w:eastAsia="Arial" w:hAnsi="Arial"/>
          <w:sz w:val="24"/>
          <w:szCs w:val="24"/>
        </w:rPr>
        <w:t xml:space="preserve">Для внедрения альтернативных социальных услуг для пожилых граждан планируется разработка механизмов предоставления платных социальных услуг.</w:t>
      </w:r>
    </w:p>
    <w:p>
      <w:pPr>
        <w:spacing w:after="120"/>
        <w:jc w:val="both"/>
      </w:pPr>
      <w:r>
        <w:rPr>
          <w:rFonts w:ascii="Arial" w:cs="Arial" w:eastAsia="Arial" w:hAnsi="Arial"/>
          <w:sz w:val="24"/>
          <w:szCs w:val="24"/>
        </w:rPr>
        <w:t xml:space="preserve">Продолжится работа по развитию сети учреждений социального обслуживания, работающих с лицами без определенного места жительства.</w:t>
      </w:r>
    </w:p>
    <w:p>
      <w:pPr>
        <w:spacing w:after="120"/>
        <w:jc w:val="both"/>
      </w:pPr>
      <w:r>
        <w:rPr>
          <w:rFonts w:ascii="Arial" w:cs="Arial" w:eastAsia="Arial" w:hAnsi="Arial"/>
          <w:sz w:val="24"/>
          <w:szCs w:val="24"/>
        </w:rPr>
        <w:t xml:space="preserve">В целях повышения качества, адресности и эффективности предоставляемых социальных услуг населению будет продолжена работа по внедрению разработанного программного обеспечения "Корпоративной информационной системы социальной помощи" в подразделениях Министерства социального развития Кыргызской Республики.</w:t>
      </w:r>
    </w:p>
    <w:p>
      <w:pPr>
        <w:spacing w:after="120"/>
        <w:jc w:val="both"/>
      </w:pPr>
      <w:r>
        <w:rPr>
          <w:rFonts w:ascii="Arial" w:cs="Arial" w:eastAsia="Arial" w:hAnsi="Arial"/>
          <w:sz w:val="24"/>
          <w:szCs w:val="24"/>
        </w:rPr>
        <w:t xml:space="preserve">Основной целью развития системы государственного пенсионного социального страхования является выполнение государственных гарантий по обеспечению граждан пенсиями в старости, в случае болезни, потери кормильца, исходя из экономических возможностей государства.</w:t>
      </w:r>
    </w:p>
    <w:p>
      <w:pPr>
        <w:spacing w:after="120"/>
        <w:jc w:val="both"/>
      </w:pPr>
      <w:r>
        <w:rPr>
          <w:rFonts w:ascii="Arial" w:cs="Arial" w:eastAsia="Arial" w:hAnsi="Arial"/>
          <w:sz w:val="24"/>
          <w:szCs w:val="24"/>
        </w:rPr>
        <w:t xml:space="preserve">Пенсионная политика в 2014 году будет сфокусирована на следующих приоритетных направлениях:</w:t>
      </w:r>
    </w:p>
    <w:p>
      <w:pPr>
        <w:spacing w:after="120"/>
        <w:jc w:val="both"/>
      </w:pPr>
      <w:r>
        <w:rPr>
          <w:rFonts w:ascii="Arial" w:cs="Arial" w:eastAsia="Arial" w:hAnsi="Arial"/>
          <w:sz w:val="24"/>
          <w:szCs w:val="24"/>
        </w:rPr>
        <w:t xml:space="preserve">- обеспечение гарантий государства в области пенсионного обеспечения;</w:t>
      </w:r>
    </w:p>
    <w:p>
      <w:pPr>
        <w:spacing w:after="120"/>
        <w:jc w:val="both"/>
      </w:pPr>
      <w:r>
        <w:rPr>
          <w:rFonts w:ascii="Arial" w:cs="Arial" w:eastAsia="Arial" w:hAnsi="Arial"/>
          <w:sz w:val="24"/>
          <w:szCs w:val="24"/>
        </w:rPr>
        <w:t xml:space="preserve">- наращивание потенциала системы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Основными задачами на 2014 год являются обеспечение финансовой устойчивости пенсионной системы, повышение пенсий по государственному социальному страхованию и совершенствование правоотношений в области государственного социального страхования.</w:t>
      </w:r>
    </w:p>
    <w:p>
      <w:pPr>
        <w:spacing w:after="120"/>
        <w:jc w:val="both"/>
      </w:pPr>
      <w:r>
        <w:rPr>
          <w:rFonts w:ascii="Arial" w:cs="Arial" w:eastAsia="Arial" w:hAnsi="Arial"/>
          <w:sz w:val="24"/>
          <w:szCs w:val="24"/>
        </w:rPr>
        <w:t xml:space="preserve">Для обеспечения финансовой устойчивости пенсионной системы будут осуществляться следующие мероприятия:</w:t>
      </w:r>
    </w:p>
    <w:p>
      <w:pPr>
        <w:spacing w:after="120"/>
        <w:jc w:val="both"/>
      </w:pPr>
      <w:r>
        <w:rPr>
          <w:rFonts w:ascii="Arial" w:cs="Arial" w:eastAsia="Arial" w:hAnsi="Arial"/>
          <w:sz w:val="24"/>
          <w:szCs w:val="24"/>
        </w:rPr>
        <w:t xml:space="preserve">1) обеспечение увеличения поступлений страховых взносов;</w:t>
      </w:r>
    </w:p>
    <w:p>
      <w:pPr>
        <w:spacing w:after="120"/>
        <w:jc w:val="both"/>
      </w:pPr>
      <w:r>
        <w:rPr>
          <w:rFonts w:ascii="Arial" w:cs="Arial" w:eastAsia="Arial" w:hAnsi="Arial"/>
          <w:sz w:val="24"/>
          <w:szCs w:val="24"/>
        </w:rPr>
        <w:t xml:space="preserve">2) внесение изменений и дополнений в Закон Кыргызской Республики "О тарифах страховых взносов по государственному социальному страхованию", направленных на выравнивание ставок тарифов страховых взносов для индивидуальных предпринимателей, работающих на рынках, и сельскохозяйственного сектора, а также внесения поправок в законодательство по проведению рейдового контроля и выставлению платежного требования к счетам в банках плательщиков, имеющих задолженность;</w:t>
      </w:r>
    </w:p>
    <w:p>
      <w:pPr>
        <w:spacing w:after="120"/>
        <w:jc w:val="both"/>
      </w:pPr>
      <w:r>
        <w:rPr>
          <w:rFonts w:ascii="Arial" w:cs="Arial" w:eastAsia="Arial" w:hAnsi="Arial"/>
          <w:sz w:val="24"/>
          <w:szCs w:val="24"/>
        </w:rPr>
        <w:t xml:space="preserve">3) расширение инвестиционного портфеля Социального фонда Кыргызской Республики;</w:t>
      </w:r>
    </w:p>
    <w:p>
      <w:pPr>
        <w:spacing w:after="120"/>
        <w:jc w:val="both"/>
      </w:pPr>
      <w:r>
        <w:rPr>
          <w:rFonts w:ascii="Arial" w:cs="Arial" w:eastAsia="Arial" w:hAnsi="Arial"/>
          <w:sz w:val="24"/>
          <w:szCs w:val="24"/>
        </w:rPr>
        <w:t xml:space="preserve">4) разработка и заключение межгосударственных соглашений по вовлечению мигрантов в систему государственного социального страхования.</w:t>
      </w:r>
    </w:p>
    <w:p>
      <w:pPr>
        <w:spacing w:after="120"/>
        <w:jc w:val="both"/>
      </w:pPr>
      <w:r>
        <w:rPr>
          <w:rFonts w:ascii="Arial" w:cs="Arial" w:eastAsia="Arial" w:hAnsi="Arial"/>
          <w:sz w:val="24"/>
          <w:szCs w:val="24"/>
        </w:rPr>
        <w:t xml:space="preserve">Для решения задачи по повышению размеров пенсий с учетом финансовой возможности Социального фонда Кыргызской Республики и республиканского бюджета необходимо:</w:t>
      </w:r>
    </w:p>
    <w:p>
      <w:pPr>
        <w:spacing w:after="120"/>
        <w:jc w:val="both"/>
      </w:pPr>
      <w:r>
        <w:rPr>
          <w:rFonts w:ascii="Arial" w:cs="Arial" w:eastAsia="Arial" w:hAnsi="Arial"/>
          <w:sz w:val="24"/>
          <w:szCs w:val="24"/>
        </w:rPr>
        <w:t xml:space="preserve">- обеспечение ежегодной индексации страховых частей пенсии;</w:t>
      </w:r>
    </w:p>
    <w:p>
      <w:pPr>
        <w:spacing w:after="120"/>
        <w:jc w:val="both"/>
      </w:pPr>
      <w:r>
        <w:rPr>
          <w:rFonts w:ascii="Arial" w:cs="Arial" w:eastAsia="Arial" w:hAnsi="Arial"/>
          <w:sz w:val="24"/>
          <w:szCs w:val="24"/>
        </w:rPr>
        <w:t xml:space="preserve">- внесение изменений и дополнений в </w:t>
      </w:r>
      <w:hyperlink w:history="1" r:id="rIdguftasihico2eehau8eq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направленных на повышение адресности и эффективности расходов республиканского бюджета на пенсионное обеспечение, усиление страхового принципа назначения пенсий, совершенствование правил назначения пенсий, рассмотрение возможности сокращения предоставления льгот при назначении пенсии.</w:t>
      </w:r>
    </w:p>
    <w:p>
      <w:pPr>
        <w:spacing w:after="120"/>
        <w:jc w:val="both"/>
      </w:pPr>
      <w:r>
        <w:rPr>
          <w:rFonts w:ascii="Arial" w:cs="Arial" w:eastAsia="Arial" w:hAnsi="Arial"/>
          <w:sz w:val="24"/>
          <w:szCs w:val="24"/>
        </w:rPr>
        <w:t xml:space="preserve">Задача по совершенствованию правоотношений по государственному социальному страхованию предполагает разработку проекта Программы дальнейшего реформирования пенсионной системы в Кыргызской Республике.</w:t>
      </w:r>
    </w:p>
    <w:p>
      <w:pPr>
        <w:spacing w:after="120"/>
        <w:jc w:val="both"/>
      </w:pPr>
      <w:r>
        <w:rPr>
          <w:rFonts w:ascii="Arial" w:cs="Arial" w:eastAsia="Arial" w:hAnsi="Arial"/>
          <w:sz w:val="24"/>
          <w:szCs w:val="24"/>
        </w:rPr>
        <w:t xml:space="preserve">В рамках приоритета по наращиванию потенциала пенсионного обеспечения для оказания качественных услуг населению будет продолжена работа по реализации политики открытости и гласности в отношениях с плательщиками страховых взносов, построению единой информационной системы в сфере государственного пенсионного социального страхования; по автоматизации процесса сбора страховых взносов, назначения и перерасчета пенсий.</w:t>
      </w:r>
    </w:p>
    <w:p>
      <w:pPr>
        <w:spacing w:after="120"/>
        <w:jc w:val="both"/>
      </w:pPr>
      <w:r>
        <w:rPr>
          <w:rFonts w:ascii="Arial" w:cs="Arial" w:eastAsia="Arial" w:hAnsi="Arial"/>
          <w:sz w:val="24"/>
          <w:szCs w:val="24"/>
        </w:rPr>
        <w:t xml:space="preserve">В целях обеспечения занятости на полномасштабной основе будет запущена Программа содействия занятости населения и регулирования внешней трудовой миграции до 2020 года, направленная на обучение и содействие в трудоустройстве, содействие развитию предпринимательства на селе, повышение мобильности трудовых ресурсов. Мерами политики в области занятости населения будут:</w:t>
      </w:r>
    </w:p>
    <w:p>
      <w:pPr>
        <w:spacing w:after="120"/>
        <w:jc w:val="both"/>
      </w:pPr>
      <w:r>
        <w:rPr>
          <w:rFonts w:ascii="Arial" w:cs="Arial" w:eastAsia="Arial" w:hAnsi="Arial"/>
          <w:sz w:val="24"/>
          <w:szCs w:val="24"/>
        </w:rPr>
        <w:t xml:space="preserve">- повышение уровня занятости и снижение уровня безработицы посредством внедрения методики и механизма проведения профессиональной ориентации на местном уровне, механизмов партнерства для внедрения программ и проектов для организации социально значимых общественных оплачиваемых работ, создания новых рабочих мест за счет выдачи микрокредитов для организации собственного бизнеса, в сфере малого предпринимательства и фермерства, обучения безработных профессиям, востребованным на местных рынках труда;</w:t>
      </w:r>
    </w:p>
    <w:p>
      <w:pPr>
        <w:spacing w:after="120"/>
        <w:jc w:val="both"/>
      </w:pPr>
      <w:r>
        <w:rPr>
          <w:rFonts w:ascii="Arial" w:cs="Arial" w:eastAsia="Arial" w:hAnsi="Arial"/>
          <w:sz w:val="24"/>
          <w:szCs w:val="24"/>
        </w:rPr>
        <w:t xml:space="preserve">- обеспечение широкого доступа к качественной информации о местных и зарубежных работодателях посредством внедрения в службах занятости всех регионов республики программного продукта по информационной системе рынка труда, оборудованию и запуску в действие 10 информационно-консультативных центров при региональных службах, проведению на систематической основе профориентационной работы среди молодежи и "Ярмарки вакансий";</w:t>
      </w:r>
    </w:p>
    <w:p>
      <w:pPr>
        <w:spacing w:after="120"/>
        <w:jc w:val="both"/>
      </w:pPr>
      <w:r>
        <w:rPr>
          <w:rFonts w:ascii="Arial" w:cs="Arial" w:eastAsia="Arial" w:hAnsi="Arial"/>
          <w:sz w:val="24"/>
          <w:szCs w:val="24"/>
        </w:rPr>
        <w:t xml:space="preserve">- повышение конкурентоспособности выпускников рабочих специальностей системы профессионально-технического образования за счет разработки и внедрения учебных планов и программ на основе новых стандартов; разработки и внедрения карты размещения объектов экономики, требующих подготовку кадрового потенциала и соответствующих учреждений системы профессионально-технического образования; внедрения упрощенных программ обучения безработных женщин и молодежи в отдаленных, высокогорных и приграничных пунктах народным промыслам и ремеслам; разработки и внедрения гибких образовательных программ по возрасту, сроку, специальностям;</w:t>
      </w:r>
    </w:p>
    <w:p>
      <w:pPr>
        <w:spacing w:after="120"/>
        <w:jc w:val="both"/>
      </w:pPr>
      <w:r>
        <w:rPr>
          <w:rFonts w:ascii="Arial" w:cs="Arial" w:eastAsia="Arial" w:hAnsi="Arial"/>
          <w:sz w:val="24"/>
          <w:szCs w:val="24"/>
        </w:rPr>
        <w:t xml:space="preserve">- расширение возможностей и стандартизация процедур трудоустройства за рубежом через внедрение организованного найма, которое будет позволять прием трудовых ресурсов из Кыргызстана по официальному трудоустройству, социальному страхованию и защите прав трудовых мигрантов. Будет продолжена работа по внедрению системы взаимного признания дипломов/сертификатов (рабочих профессий) через инициативы в рамках двусторонних межгосударственных соглашений, разработка и утверждение минимальных требований к трудовым договорам мигрантов на базе основополагающих принципов и прав в сфере труда;</w:t>
      </w:r>
    </w:p>
    <w:p>
      <w:pPr>
        <w:spacing w:after="120"/>
        <w:jc w:val="both"/>
      </w:pPr>
      <w:r>
        <w:rPr>
          <w:rFonts w:ascii="Arial" w:cs="Arial" w:eastAsia="Arial" w:hAnsi="Arial"/>
          <w:sz w:val="24"/>
          <w:szCs w:val="24"/>
        </w:rPr>
        <w:t xml:space="preserve">- создание условий для дальнейшей самореализации и реализации потенциала молодежи в интересах социально-экономического развития Кыргызской Республики.</w:t>
      </w:r>
    </w:p>
    <w:p>
      <w:pPr>
        <w:spacing w:after="120"/>
        <w:jc w:val="both"/>
      </w:pPr>
      <w:r>
        <w:rPr>
          <w:rFonts w:ascii="Arial" w:cs="Arial" w:eastAsia="Arial" w:hAnsi="Arial"/>
          <w:sz w:val="24"/>
          <w:szCs w:val="24"/>
        </w:rPr>
        <w:t xml:space="preserve">Целью развития системы образования является обеспечение за счет эффективного использования внутренних и внешних ресурсов развития личностных и профессиональных навыков человека и обеспечения государства и общества кадрами, необходимыми для устойчивого развития. Достижение цели будет обеспечиваться через реализацию следующих приоритетов в соответствии со Стратегией развития образования на 2012-2020 годы:</w:t>
      </w:r>
    </w:p>
    <w:p>
      <w:pPr>
        <w:spacing w:after="120"/>
        <w:jc w:val="both"/>
      </w:pPr>
      <w:r>
        <w:rPr>
          <w:rFonts w:ascii="Arial" w:cs="Arial" w:eastAsia="Arial" w:hAnsi="Arial"/>
          <w:sz w:val="24"/>
          <w:szCs w:val="24"/>
        </w:rPr>
        <w:t xml:space="preserve">- повышение эффективности государственного регулирования развития сферы образования;</w:t>
      </w:r>
    </w:p>
    <w:p>
      <w:pPr>
        <w:spacing w:after="120"/>
        <w:jc w:val="both"/>
      </w:pPr>
      <w:r>
        <w:rPr>
          <w:rFonts w:ascii="Arial" w:cs="Arial" w:eastAsia="Arial" w:hAnsi="Arial"/>
          <w:sz w:val="24"/>
          <w:szCs w:val="24"/>
        </w:rPr>
        <w:t xml:space="preserve">-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 переориентация сферы науки, в том числе вузовской, на работу с конкретным заказчиком, ориентированным на продвижение устойчивого развития страны.</w:t>
      </w:r>
    </w:p>
    <w:p>
      <w:pPr>
        <w:spacing w:after="120"/>
        <w:jc w:val="both"/>
      </w:pPr>
      <w:r>
        <w:rPr>
          <w:rFonts w:ascii="Arial" w:cs="Arial" w:eastAsia="Arial" w:hAnsi="Arial"/>
          <w:sz w:val="24"/>
          <w:szCs w:val="24"/>
        </w:rPr>
        <w:t xml:space="preserve">Целью развития сектора здравоохранения является повышение качества медицинских услуг, направленных на снижение уровня заболеваний населения, в том числе связанных с влиянием факторов окружающей среды. Государственная политика в сфере здравоохранения будет направлена на решение задач по следующим приоритетным направлениям:</w:t>
      </w:r>
    </w:p>
    <w:p>
      <w:pPr>
        <w:spacing w:after="120"/>
        <w:jc w:val="both"/>
      </w:pPr>
      <w:r>
        <w:rPr>
          <w:rFonts w:ascii="Arial" w:cs="Arial" w:eastAsia="Arial" w:hAnsi="Arial"/>
          <w:sz w:val="24"/>
          <w:szCs w:val="24"/>
        </w:rPr>
        <w:t xml:space="preserve">-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Продолжится реализация Национальной программы реформирования здравоохранения "Ден соолук" на 2012-2016 годы, Национальная программа "Туберкулез IV" на 2012-2016 годы, Программа "Иммунопрофилактика" на 2013-2017 годы, Концепции совершенствования системы здравоохранения с учетом развития частной медицины и межсекторных договорных отношений".</w:t>
      </w:r>
    </w:p>
    <w:p>
      <w:pPr>
        <w:spacing w:after="120"/>
        <w:jc w:val="both"/>
      </w:pPr>
      <w:r>
        <w:rPr>
          <w:rFonts w:ascii="Arial" w:cs="Arial" w:eastAsia="Arial" w:hAnsi="Arial"/>
          <w:sz w:val="24"/>
          <w:szCs w:val="24"/>
        </w:rPr>
        <w:t xml:space="preserve">Таким образом, проводимая в 2014 году экономическая политика Правительства и НБКР позволит обеспечить реальный рост ВВП не менее 5%. Уровень инфляции будет поддерживаться в значении, не превышающем однозначных показателей.</w:t>
      </w:r>
    </w:p>
    <w:p>
      <w:pPr>
        <w:spacing w:after="120"/>
        <w:jc w:val="both"/>
      </w:pPr>
      <w:r>
        <w:rPr>
          <w:rFonts w:ascii="Arial" w:cs="Arial" w:eastAsia="Arial" w:hAnsi="Arial"/>
          <w:sz w:val="24"/>
          <w:szCs w:val="24"/>
        </w:rPr>
        <w:t xml:space="preserve">Основным условием достижения макроэкономической стабильности является обеспечение общественно-политической стабильности в стране, эффективное использование внутренних ресурсов и собственного потенциала, формирование эффективной системы государственного управления.</w:t>
      </w:r>
    </w:p>
    <w:p>
      <w:pPr>
        <w:spacing w:after="120"/>
        <w:jc w:val="both"/>
      </w:pPr>
      <w:r>
        <w:rPr>
          <w:rFonts w:ascii="Arial" w:cs="Arial" w:eastAsia="Arial" w:hAnsi="Arial"/>
          <w:sz w:val="24"/>
          <w:szCs w:val="24"/>
        </w:rPr>
        <w:t xml:space="preserve">Правительство и НБКР будут предпринимать совместные активные действия для минимизации влияния факторов риска, формирования современного конкурентоспособного банковского сектора, соответствующего стратегическим интересам экономики. Стабильное функционирование банковского сектора, а также рост кредитной активности будут способствовать дальнейшему развитию и расширению кредитования приоритетных секторов экономики и стимулированию экономического роста.</w:t>
      </w:r>
    </w:p>
    <w:p>
      <w:pPr>
        <w:spacing w:after="120"/>
        <w:jc w:val="both"/>
      </w:pPr>
      <w:r>
        <w:rPr>
          <w:rFonts w:ascii="Arial" w:cs="Arial" w:eastAsia="Arial" w:hAnsi="Arial"/>
          <w:sz w:val="24"/>
          <w:szCs w:val="24"/>
        </w:rPr>
        <w:t xml:space="preserve">Целевые количественные макропоказатели на 2014 год могут уточняться при возникновении новых факторов риска и благоприятных предпосылок, влияющих на функционирование экономики в целом.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d256xjh2tbzfpdpaaa8l">
      <w:r>
        <w:rPr>
          <w:rFonts w:ascii="Arial" w:cs="Arial" w:eastAsia="Arial" w:hAnsi="Arial"/>
          <w:color w:val="132D3F"/>
          <w:sz w:val="16"/>
          <w:szCs w:val="16"/>
          <w:u w:val="single"/>
        </w:rPr>
        <w:t xml:space="preserve">dalil.kg/document/96164</w:t>
      </w:r>
    </w:hyperlink>
  </w:p>
  <w:p>
    <w:pPr>
      <w:spacing w:after="0" w:before="40"/>
      <w:jc w:val="center"/>
    </w:pPr>
    <w:hyperlink w:history="1" r:id="rIdsp4xxh_wrgehymb4dvr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9ubhinew1q3udrgdxk2b" Type="http://schemas.openxmlformats.org/officeDocument/2006/relationships/hyperlink" Target="https://dalil.kg/document/160675" TargetMode="External"/><Relationship Id="rIdpa8fct8agrae6wqytby2g" Type="http://schemas.openxmlformats.org/officeDocument/2006/relationships/hyperlink" Target="https://dalil.kg/document/96163" TargetMode="External"/><Relationship Id="rIdk1m6djvkspit8vjoeixgc" Type="http://schemas.openxmlformats.org/officeDocument/2006/relationships/hyperlink" Target="https://dalil.kg/document/94217" TargetMode="External"/><Relationship Id="rIdhosb7byc2x6awfz3xclwi" Type="http://schemas.openxmlformats.org/officeDocument/2006/relationships/hyperlink" Target="https://dalil.kg/document/93098" TargetMode="External"/><Relationship Id="rIdsklkusk7ycpy9zxupgsva" Type="http://schemas.openxmlformats.org/officeDocument/2006/relationships/hyperlink" Target="https://dalil.kg/document/94327" TargetMode="External"/><Relationship Id="rId0fucx0woitmyvl60vao2g" Type="http://schemas.openxmlformats.org/officeDocument/2006/relationships/hyperlink" Target="https://dalil.kg/document/94270" TargetMode="External"/><Relationship Id="rIdrntqn6sxnxcp3umap8oyl" Type="http://schemas.openxmlformats.org/officeDocument/2006/relationships/hyperlink" Target="https://dalil.kg/document/93854" TargetMode="External"/><Relationship Id="rIdqa71ybs__4syff3vhzh99" Type="http://schemas.openxmlformats.org/officeDocument/2006/relationships/hyperlink" Target="https://dalil.kg/document/92600" TargetMode="External"/><Relationship Id="rIdguftasihico2eehau8eqr" Type="http://schemas.openxmlformats.org/officeDocument/2006/relationships/hyperlink" Target="https://dalil.kg/document/8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d256xjh2tbzfpdpaaa8l" Type="http://schemas.openxmlformats.org/officeDocument/2006/relationships/hyperlink" Target="https://dalil.kg/document/96164" TargetMode="External"/><Relationship Id="rIdsp4xxh_wrgehymb4dvr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2026-09-25T00:42:41.357Z</dcterms:created>
  <dcterms:modified xsi:type="dcterms:W3CDTF">2026-09-25T00:42:41.357Z</dcterms:modified>
</cp:coreProperties>
</file>

<file path=docProps/custom.xml><?xml version="1.0" encoding="utf-8"?>
<Properties xmlns="http://schemas.openxmlformats.org/officeDocument/2006/custom-properties" xmlns:vt="http://schemas.openxmlformats.org/officeDocument/2006/docPropsVTypes"/>
</file>