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iam8rohef7truh5qqxg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139</w:t>
      </w:r>
    </w:p>
    <w:p>
      <w:pPr>
        <w:spacing w:after="120"/>
        <w:jc w:val="both"/>
      </w:pPr>
      <w:r>
        <w:rPr>
          <w:rFonts w:ascii="Arial" w:cs="Arial" w:eastAsia="Arial" w:hAnsi="Arial"/>
          <w:sz w:val="24"/>
          <w:szCs w:val="24"/>
        </w:rPr>
        <w:t xml:space="preserve">ТЕХНИЧЕСКИЙ РЕГЛАМЕНТ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К объектам технического регулирования, на которые распространяется действие настоящего Технического регламента, относятся единичные транспортные средства и автотранспортные средства, в конструкцию которых внесены изменения, категорий L, М, N и О, предназначенные для эксплуатации на автомобильных дорогах общего пользования (далее - транспортные средства), а также шасси; компоненты транспортных средств, оказывающие влияние на безопасность транспортных средств.</w:t>
      </w:r>
    </w:p>
    <w:p>
      <w:pPr>
        <w:spacing w:after="120"/>
        <w:jc w:val="both"/>
      </w:pPr>
      <w:r>
        <w:rPr>
          <w:rFonts w:ascii="Arial" w:cs="Arial" w:eastAsia="Arial" w:hAnsi="Arial"/>
          <w:sz w:val="24"/>
          <w:szCs w:val="24"/>
        </w:rPr>
        <w:t xml:space="preserve">2. Действие настоящего Технического регламента не распространяется на транспортные средства:</w:t>
      </w:r>
    </w:p>
    <w:p>
      <w:pPr>
        <w:spacing w:after="120"/>
        <w:jc w:val="both"/>
      </w:pPr>
      <w:r>
        <w:rPr>
          <w:rFonts w:ascii="Arial" w:cs="Arial" w:eastAsia="Arial" w:hAnsi="Arial"/>
          <w:sz w:val="24"/>
          <w:szCs w:val="24"/>
        </w:rPr>
        <w:t xml:space="preserve">1) имеющие максимальную скорость, предусмотренную их конструкцией, не более 25 км/ч;</w:t>
      </w:r>
    </w:p>
    <w:p>
      <w:pPr>
        <w:spacing w:after="120"/>
        <w:jc w:val="both"/>
      </w:pPr>
      <w:r>
        <w:rPr>
          <w:rFonts w:ascii="Arial" w:cs="Arial" w:eastAsia="Arial" w:hAnsi="Arial"/>
          <w:sz w:val="24"/>
          <w:szCs w:val="24"/>
        </w:rPr>
        <w:t xml:space="preserve">2) предназначенные исключительно для участия в спортивных соревнованиях.</w:t>
      </w:r>
    </w:p>
    <w:p>
      <w:pPr>
        <w:spacing w:after="120"/>
        <w:jc w:val="both"/>
      </w:pPr>
      <w:r>
        <w:rPr>
          <w:rFonts w:ascii="Arial" w:cs="Arial" w:eastAsia="Arial" w:hAnsi="Arial"/>
          <w:sz w:val="24"/>
          <w:szCs w:val="24"/>
        </w:rPr>
        <w:t xml:space="preserve">3. Для целей настоящего Технического регламента применяются термины, которые означают следующее:</w:t>
      </w:r>
    </w:p>
    <w:p>
      <w:pPr>
        <w:spacing w:after="120"/>
        <w:jc w:val="both"/>
      </w:pPr>
      <w:r>
        <w:rPr>
          <w:rFonts w:ascii="Arial" w:cs="Arial" w:eastAsia="Arial" w:hAnsi="Arial"/>
          <w:sz w:val="24"/>
          <w:szCs w:val="24"/>
        </w:rPr>
        <w:t xml:space="preserve">база транспортного средства - продольное расстояние между передней и задней осями автомобиля;</w:t>
      </w:r>
    </w:p>
    <w:p>
      <w:pPr>
        <w:spacing w:after="120"/>
        <w:jc w:val="both"/>
      </w:pPr>
      <w:r>
        <w:rPr>
          <w:rFonts w:ascii="Arial" w:cs="Arial" w:eastAsia="Arial" w:hAnsi="Arial"/>
          <w:sz w:val="24"/>
          <w:szCs w:val="24"/>
        </w:rPr>
        <w:t xml:space="preserve">безопасность транспортного средства - состояние, характеризуемое совокупностью параметров конструкции и технического состояния транспортного средства, обеспечивающих недопустимость или минимизацию риска причинения вреда жизни или здоровью граждан, имуществу физических и юридических лиц, государственному или муниципальному имуществу, окружающей среде;</w:t>
      </w:r>
    </w:p>
    <w:p>
      <w:pPr>
        <w:spacing w:after="120"/>
        <w:jc w:val="both"/>
      </w:pPr>
      <w:r>
        <w:rPr>
          <w:rFonts w:ascii="Arial" w:cs="Arial" w:eastAsia="Arial" w:hAnsi="Arial"/>
          <w:sz w:val="24"/>
          <w:szCs w:val="24"/>
        </w:rPr>
        <w:t xml:space="preserve">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jc w:val="both"/>
      </w:pPr>
      <w:r>
        <w:rPr>
          <w:rFonts w:ascii="Arial" w:cs="Arial" w:eastAsia="Arial" w:hAnsi="Arial"/>
          <w:sz w:val="24"/>
          <w:szCs w:val="24"/>
        </w:rPr>
        <w:t xml:space="preserve">единичное транспортное средство - транспортное средство, изготовленное в условиях серийного производства, в конструкцию которого в индивидуальном порядке были внесены изменения до выпуска в обращение; или вне серийного производства в индивидуальном порядке из сборочного комплекта; или являющееся результатом индивидуального технического творчества;</w:t>
      </w:r>
    </w:p>
    <w:p>
      <w:pPr>
        <w:spacing w:after="120"/>
        <w:jc w:val="both"/>
      </w:pPr>
      <w:r>
        <w:rPr>
          <w:rFonts w:ascii="Arial" w:cs="Arial" w:eastAsia="Arial" w:hAnsi="Arial"/>
          <w:sz w:val="24"/>
          <w:szCs w:val="24"/>
        </w:rPr>
        <w:t xml:space="preserve">несоответствие - невыполнение требования настоящего технического регламента;</w:t>
      </w:r>
    </w:p>
    <w:p>
      <w:pPr>
        <w:spacing w:after="120"/>
        <w:jc w:val="both"/>
      </w:pPr>
      <w:r>
        <w:rPr>
          <w:rFonts w:ascii="Arial" w:cs="Arial" w:eastAsia="Arial" w:hAnsi="Arial"/>
          <w:sz w:val="24"/>
          <w:szCs w:val="24"/>
        </w:rPr>
        <w:t xml:space="preserve">орган управления - конструктивный элемент транспортного средства, на который воздействует водитель для изменения функционирования транспортного средства или его частей;</w:t>
      </w:r>
    </w:p>
    <w:p>
      <w:pPr>
        <w:spacing w:after="120"/>
        <w:jc w:val="both"/>
      </w:pPr>
      <w:r>
        <w:rPr>
          <w:rFonts w:ascii="Arial" w:cs="Arial" w:eastAsia="Arial" w:hAnsi="Arial"/>
          <w:sz w:val="24"/>
          <w:szCs w:val="24"/>
        </w:rPr>
        <w:t xml:space="preserve">оригинальные компоненты - компоненты (узлы агрегаты, детали) автотранспорта, поставляемые заводами-поставщиками комплектующих элементов для сборки автотранспортных средств.</w:t>
      </w:r>
    </w:p>
    <w:p>
      <w:pPr>
        <w:spacing w:after="120"/>
        <w:jc w:val="both"/>
      </w:pPr>
      <w:r>
        <w:rPr>
          <w:rFonts w:ascii="Arial" w:cs="Arial" w:eastAsia="Arial" w:hAnsi="Arial"/>
          <w:sz w:val="24"/>
          <w:szCs w:val="24"/>
        </w:rPr>
        <w:t xml:space="preserve">Глава 2. Требования к безопасности</w:t>
      </w:r>
    </w:p>
    <w:p>
      <w:pPr>
        <w:spacing w:after="120"/>
        <w:jc w:val="both"/>
      </w:pPr>
      <w:r>
        <w:rPr>
          <w:rFonts w:ascii="Arial" w:cs="Arial" w:eastAsia="Arial" w:hAnsi="Arial"/>
          <w:sz w:val="24"/>
          <w:szCs w:val="24"/>
        </w:rPr>
        <w:t xml:space="preserve">4. Единичные транспортные средства, выпускаемые в обращение, должны соответствовать требованиям по безопасности, изложенным в </w:t>
      </w:r>
      <w:hyperlink w:history="1" r:id="rIduqsokmp-bq08pxeqxznx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Допускается применение отдельных агрегатов, узлов и деталей серийных автотранспортных средств при изготовлении в индивидуальном порядке автотранспортных средств физическими или юридическими лицами из бывших в употреблении компонентов и запасных частей.</w:t>
      </w:r>
    </w:p>
    <w:p>
      <w:pPr>
        <w:spacing w:after="120"/>
        <w:jc w:val="both"/>
      </w:pPr>
      <w:r>
        <w:rPr>
          <w:rFonts w:ascii="Arial" w:cs="Arial" w:eastAsia="Arial" w:hAnsi="Arial"/>
          <w:sz w:val="24"/>
          <w:szCs w:val="24"/>
        </w:rPr>
        <w:t xml:space="preserve">5. Транспортные средства, в конструкцию которых внесены изменения, выпускаемые в обращение, должны соответствовать требованиям по безопасности, изложенным в </w:t>
      </w:r>
      <w:hyperlink w:history="1" r:id="rIdiffprl85g1ih-kkctzmx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Запрещается установка на транспортные средства категорий М и N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из стали или других материалов с аналогичными прочностными характеристиками.</w:t>
      </w:r>
    </w:p>
    <w:p>
      <w:pPr>
        <w:spacing w:after="120"/>
        <w:jc w:val="both"/>
      </w:pPr>
      <w:r>
        <w:rPr>
          <w:rFonts w:ascii="Arial" w:cs="Arial" w:eastAsia="Arial" w:hAnsi="Arial"/>
          <w:sz w:val="24"/>
          <w:szCs w:val="24"/>
        </w:rPr>
        <w:t xml:space="preserve">7. Данное требование не распространяется на конструкции, предусмотренные штатной комплектацией транспортного средства и (или) прошедшие оценку соответствия в установленном порядке,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8. Оценка соответствия единичного транспортного средства и транспортных средств, в конструкцию которых внесены изменения, осуществляется в следующих формах:</w:t>
      </w:r>
    </w:p>
    <w:p>
      <w:pPr>
        <w:spacing w:after="120"/>
        <w:jc w:val="both"/>
      </w:pPr>
      <w:r>
        <w:rPr>
          <w:rFonts w:ascii="Arial" w:cs="Arial" w:eastAsia="Arial" w:hAnsi="Arial"/>
          <w:sz w:val="24"/>
          <w:szCs w:val="24"/>
        </w:rPr>
        <w:t xml:space="preserve">- экспертиза;</w:t>
      </w:r>
    </w:p>
    <w:p>
      <w:pPr>
        <w:spacing w:after="120"/>
        <w:jc w:val="both"/>
      </w:pPr>
      <w:r>
        <w:rPr>
          <w:rFonts w:ascii="Arial" w:cs="Arial" w:eastAsia="Arial" w:hAnsi="Arial"/>
          <w:sz w:val="24"/>
          <w:szCs w:val="24"/>
        </w:rPr>
        <w:t xml:space="preserve">- регистрация;</w:t>
      </w:r>
    </w:p>
    <w:p>
      <w:pPr>
        <w:spacing w:after="120"/>
        <w:jc w:val="both"/>
      </w:pPr>
      <w:r>
        <w:rPr>
          <w:rFonts w:ascii="Arial" w:cs="Arial" w:eastAsia="Arial" w:hAnsi="Arial"/>
          <w:sz w:val="24"/>
          <w:szCs w:val="24"/>
        </w:rPr>
        <w:t xml:space="preserve">- технический осмотр;</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9. Экспертиза эскизного проекта по внесению изменений в конструкцию транспортных средств и эскизный проект единичного транспортного средства проводится межведомственной комиссией, состав которой формируется уполномоченным органом по обеспечению безопасности дорожного движения.</w:t>
      </w:r>
    </w:p>
    <w:p>
      <w:pPr>
        <w:spacing w:after="120"/>
        <w:jc w:val="both"/>
      </w:pPr>
      <w:r>
        <w:rPr>
          <w:rFonts w:ascii="Arial" w:cs="Arial" w:eastAsia="Arial" w:hAnsi="Arial"/>
          <w:sz w:val="24"/>
          <w:szCs w:val="24"/>
        </w:rPr>
        <w:t xml:space="preserve">10. Межведомственная комиссия рассматривает эскизные проекты единичных транспортных средств и транспортных средств, в конструкцию которых возможно внесение изменений, и выдает заключение об одобрении или отказе.</w:t>
      </w:r>
    </w:p>
    <w:p>
      <w:pPr>
        <w:spacing w:after="120"/>
        <w:jc w:val="both"/>
      </w:pPr>
      <w:r>
        <w:rPr>
          <w:rFonts w:ascii="Arial" w:cs="Arial" w:eastAsia="Arial" w:hAnsi="Arial"/>
          <w:sz w:val="24"/>
          <w:szCs w:val="24"/>
        </w:rPr>
        <w:t xml:space="preserve">11. Регистрация единичного транспортного средства и транспортных средств, в конструкцию которых внесены изменения проводится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 по представлении положительного заключения межведомственной комиссии и заключения аккредитованного диагностического центра о соответствии эскизному проекту и требованиям настоящего Технического регламента.</w:t>
      </w:r>
    </w:p>
    <w:p>
      <w:pPr>
        <w:spacing w:after="120"/>
        <w:jc w:val="both"/>
      </w:pPr>
      <w:r>
        <w:rPr>
          <w:rFonts w:ascii="Arial" w:cs="Arial" w:eastAsia="Arial" w:hAnsi="Arial"/>
          <w:sz w:val="24"/>
          <w:szCs w:val="24"/>
        </w:rPr>
        <w:t xml:space="preserve">12. Технический осмотр единичного транспортного средства и транспортных средств, в конструкцию которых внесены изменения, проводится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 после их регистрации.</w:t>
      </w:r>
    </w:p>
    <w:p>
      <w:pPr>
        <w:spacing w:after="120"/>
        <w:jc w:val="both"/>
      </w:pPr>
      <w:r>
        <w:rPr>
          <w:rFonts w:ascii="Arial" w:cs="Arial" w:eastAsia="Arial" w:hAnsi="Arial"/>
          <w:sz w:val="24"/>
          <w:szCs w:val="24"/>
        </w:rPr>
        <w:t xml:space="preserve">13. Государственный надзор за соблюдением требований настоящего Технического регламента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ТРЕБОВАНИЯ
 к выпускаемым в обращение единичным транспортным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общей безопасности:</w:t>
      </w:r>
    </w:p>
    <w:p>
      <w:pPr>
        <w:spacing w:after="120"/>
        <w:jc w:val="both"/>
      </w:pPr>
      <w:r>
        <w:rPr>
          <w:rFonts w:ascii="Arial" w:cs="Arial" w:eastAsia="Arial" w:hAnsi="Arial"/>
          <w:sz w:val="24"/>
          <w:szCs w:val="24"/>
        </w:rPr>
        <w:t xml:space="preserve">- транспортные средства категорий М, N и L должны оснащаться противоугонными устройствами - системами для предотвращения несанкционированного приведения в действие двигателя;</w:t>
      </w:r>
    </w:p>
    <w:p>
      <w:pPr>
        <w:spacing w:after="120"/>
        <w:jc w:val="both"/>
      </w:pPr>
      <w:r>
        <w:rPr>
          <w:rFonts w:ascii="Arial" w:cs="Arial" w:eastAsia="Arial" w:hAnsi="Arial"/>
          <w:sz w:val="24"/>
          <w:szCs w:val="24"/>
        </w:rPr>
        <w:t xml:space="preserve">- каждое транспортное средство должно быть оснащено системой отопления салона;</w:t>
      </w:r>
    </w:p>
    <w:p>
      <w:pPr>
        <w:spacing w:after="120"/>
        <w:jc w:val="both"/>
      </w:pPr>
      <w:r>
        <w:rPr>
          <w:rFonts w:ascii="Arial" w:cs="Arial" w:eastAsia="Arial" w:hAnsi="Arial"/>
          <w:sz w:val="24"/>
          <w:szCs w:val="24"/>
        </w:rPr>
        <w:t xml:space="preserve">- части кузова и любые другие элементы, располагающиеся поблизости от обогревательного прибора, систем подачи теплого воздуха, внутрь транспортного средства, должны быть размещены таким образом, чтобы была исключена возможность получения травм при соприкосновении с ними, или защищены от чрезмерного нагревания и возможного загрязнения топливом или маслом;</w:t>
      </w:r>
    </w:p>
    <w:p>
      <w:pPr>
        <w:spacing w:after="120"/>
        <w:jc w:val="both"/>
      </w:pPr>
      <w:r>
        <w:rPr>
          <w:rFonts w:ascii="Arial" w:cs="Arial" w:eastAsia="Arial" w:hAnsi="Arial"/>
          <w:sz w:val="24"/>
          <w:szCs w:val="24"/>
        </w:rPr>
        <w:t xml:space="preserve">- выхлопная труба системы выпуска отработавших газов отопителя должна быть расположена таким образом, чтобы была исключена возможность попадания выхлопных газов внутрь транспортного средства через вентиляторы, воздухозаборники системы отопления или открытые окна;</w:t>
      </w:r>
    </w:p>
    <w:p>
      <w:pPr>
        <w:spacing w:after="120"/>
        <w:jc w:val="both"/>
      </w:pPr>
      <w:r>
        <w:rPr>
          <w:rFonts w:ascii="Arial" w:cs="Arial" w:eastAsia="Arial" w:hAnsi="Arial"/>
          <w:sz w:val="24"/>
          <w:szCs w:val="24"/>
        </w:rPr>
        <w:t xml:space="preserve">- транспортные средства должны быть оборудованы медицинскими аптечками и средствами пожаротушения.</w:t>
      </w:r>
    </w:p>
    <w:p>
      <w:pPr>
        <w:spacing w:after="120"/>
        <w:jc w:val="both"/>
      </w:pPr>
      <w:r>
        <w:rPr>
          <w:rFonts w:ascii="Arial" w:cs="Arial" w:eastAsia="Arial" w:hAnsi="Arial"/>
          <w:sz w:val="24"/>
          <w:szCs w:val="24"/>
        </w:rPr>
        <w:t xml:space="preserve">2. Технические требования ко всем дверям:</w:t>
      </w:r>
    </w:p>
    <w:p>
      <w:pPr>
        <w:spacing w:after="120"/>
        <w:jc w:val="both"/>
      </w:pPr>
      <w:r>
        <w:rPr>
          <w:rFonts w:ascii="Arial" w:cs="Arial" w:eastAsia="Arial" w:hAnsi="Arial"/>
          <w:sz w:val="24"/>
          <w:szCs w:val="24"/>
        </w:rPr>
        <w:t xml:space="preserve">- каждая дверь должна легко открываться изнутри и снаружи транспортного средства, когда транспортное средство находится в неподвижном состоянии (данное условие не является обязательным для движущегося транспортного средства). Однако это требование не должно толковаться как исключающее возможность запирания дверей снаружи при условии, что эту дверь всегда можно открыть изнутри;</w:t>
      </w:r>
    </w:p>
    <w:p>
      <w:pPr>
        <w:spacing w:after="120"/>
        <w:jc w:val="both"/>
      </w:pPr>
      <w:r>
        <w:rPr>
          <w:rFonts w:ascii="Arial" w:cs="Arial" w:eastAsia="Arial" w:hAnsi="Arial"/>
          <w:sz w:val="24"/>
          <w:szCs w:val="24"/>
        </w:rPr>
        <w:t xml:space="preserve">- любое навесное или откидное запасное окно должно открываться наружу.</w:t>
      </w:r>
    </w:p>
    <w:p>
      <w:pPr>
        <w:spacing w:after="120"/>
        <w:jc w:val="both"/>
      </w:pPr>
      <w:r>
        <w:rPr>
          <w:rFonts w:ascii="Arial" w:cs="Arial" w:eastAsia="Arial" w:hAnsi="Arial"/>
          <w:sz w:val="24"/>
          <w:szCs w:val="24"/>
        </w:rPr>
        <w:t xml:space="preserve">3. Требования к аварийным люкам:</w:t>
      </w:r>
    </w:p>
    <w:p>
      <w:pPr>
        <w:spacing w:after="120"/>
        <w:jc w:val="both"/>
      </w:pPr>
      <w:r>
        <w:rPr>
          <w:rFonts w:ascii="Arial" w:cs="Arial" w:eastAsia="Arial" w:hAnsi="Arial"/>
          <w:sz w:val="24"/>
          <w:szCs w:val="24"/>
        </w:rPr>
        <w:t xml:space="preserve">- каждый аварийный люк должен открываться и закрываться таким образом, чтобы не препятствовать свободному доступу внутрь транспортного средства или выходу из него;</w:t>
      </w:r>
    </w:p>
    <w:p>
      <w:pPr>
        <w:spacing w:after="120"/>
        <w:jc w:val="both"/>
      </w:pPr>
      <w:r>
        <w:rPr>
          <w:rFonts w:ascii="Arial" w:cs="Arial" w:eastAsia="Arial" w:hAnsi="Arial"/>
          <w:sz w:val="24"/>
          <w:szCs w:val="24"/>
        </w:rPr>
        <w:t xml:space="preserve">- аварийные люки должны легко открываться или сниматься как изнутри, так и снаружи. В случае легко разбиваемого люка, поблизости от него должно быть установлено устройство, легкодоступное для лиц, находящихся в транспортном средстве, с тем, чтобы люк можно было разбить.</w:t>
      </w:r>
    </w:p>
    <w:p>
      <w:pPr>
        <w:spacing w:after="120"/>
        <w:jc w:val="both"/>
      </w:pPr>
      <w:r>
        <w:rPr>
          <w:rFonts w:ascii="Arial" w:cs="Arial" w:eastAsia="Arial" w:hAnsi="Arial"/>
          <w:sz w:val="24"/>
          <w:szCs w:val="24"/>
        </w:rPr>
        <w:t xml:space="preserve">4. Надписи:</w:t>
      </w:r>
    </w:p>
    <w:p>
      <w:pPr>
        <w:spacing w:after="120"/>
        <w:jc w:val="both"/>
      </w:pPr>
      <w:r>
        <w:rPr>
          <w:rFonts w:ascii="Arial" w:cs="Arial" w:eastAsia="Arial" w:hAnsi="Arial"/>
          <w:sz w:val="24"/>
          <w:szCs w:val="24"/>
        </w:rPr>
        <w:t xml:space="preserve">- изнутри и снаружи транспортного средства каждый запасной выход должен обозначаться надписью "Запасной выход", дополненной при необходимости, соответствующим международным обозначением и стандартом в случае перевозки пассажиров и перевозки опасных грузов;</w:t>
      </w:r>
    </w:p>
    <w:p>
      <w:pPr>
        <w:spacing w:after="120"/>
        <w:jc w:val="both"/>
      </w:pPr>
      <w:r>
        <w:rPr>
          <w:rFonts w:ascii="Arial" w:cs="Arial" w:eastAsia="Arial" w:hAnsi="Arial"/>
          <w:sz w:val="24"/>
          <w:szCs w:val="24"/>
        </w:rPr>
        <w:t xml:space="preserve">- выполняются на государственном языке и могут дублироваться на официальном языке.</w:t>
      </w:r>
    </w:p>
    <w:p>
      <w:pPr>
        <w:spacing w:after="120"/>
        <w:jc w:val="both"/>
      </w:pPr>
      <w:r>
        <w:rPr>
          <w:rFonts w:ascii="Arial" w:cs="Arial" w:eastAsia="Arial" w:hAnsi="Arial"/>
          <w:sz w:val="24"/>
          <w:szCs w:val="24"/>
        </w:rPr>
        <w:t xml:space="preserve">5. Электрический свет внутри салона должен обеспечивать искусственное внутреннее освещение.</w:t>
      </w:r>
    </w:p>
    <w:p>
      <w:pPr>
        <w:spacing w:after="120"/>
        <w:jc w:val="both"/>
      </w:pPr>
      <w:r>
        <w:rPr>
          <w:rFonts w:ascii="Arial" w:cs="Arial" w:eastAsia="Arial" w:hAnsi="Arial"/>
          <w:sz w:val="24"/>
          <w:szCs w:val="24"/>
        </w:rPr>
        <w:t xml:space="preserve">6. Жесткие и ременные поручни должны иметь надлежащую прочность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Они должны быть сконструированы и установлены таким образом, чтобы исключить возможность нанесения повреждений пассажирам.</w:t>
      </w:r>
    </w:p>
    <w:p>
      <w:pPr>
        <w:spacing w:after="120"/>
        <w:jc w:val="both"/>
      </w:pPr>
      <w:r>
        <w:rPr>
          <w:rFonts w:ascii="Arial" w:cs="Arial" w:eastAsia="Arial" w:hAnsi="Arial"/>
          <w:sz w:val="24"/>
          <w:szCs w:val="24"/>
        </w:rPr>
        <w:t xml:space="preserve">Сечение жестких и ременных поручней должно быть таким, чтобы пассажир мог легко ухватиться за них и крепко держаться. Длина любого жесткого поручня должна быть не менее 10 см для того, чтобы на нем могла поместиться кисть руки. Любой размер этого сечения должен быть не менее 2 см и не более 4,5 см, за исключением поручней, которые устанавливаются у дверей и сидений и проходах транспортных средств класса В. В этих случаях допускаются поручни минимальным размером 1,5 см при условии, что другой размер будет равен, по меньшей мере, 2,5 см.</w:t>
      </w:r>
    </w:p>
    <w:p>
      <w:pPr>
        <w:spacing w:after="120"/>
        <w:jc w:val="both"/>
      </w:pPr>
      <w:r>
        <w:rPr>
          <w:rFonts w:ascii="Arial" w:cs="Arial" w:eastAsia="Arial" w:hAnsi="Arial"/>
          <w:sz w:val="24"/>
          <w:szCs w:val="24"/>
        </w:rPr>
        <w:t xml:space="preserve">Свободное пространство между поручнем и смежной частью потолка или стенок транспортного средства должно быть не менее 4 см. Однако в случае дверного поручня или поручня у сиденья или в проходе транспортного средства класса B разрешается минимальное свободное пространство в 3,5 см.</w:t>
      </w:r>
    </w:p>
    <w:p>
      <w:pPr>
        <w:spacing w:after="120"/>
        <w:jc w:val="both"/>
      </w:pPr>
      <w:r>
        <w:rPr>
          <w:rFonts w:ascii="Arial" w:cs="Arial" w:eastAsia="Arial" w:hAnsi="Arial"/>
          <w:sz w:val="24"/>
          <w:szCs w:val="24"/>
        </w:rPr>
        <w:t xml:space="preserve">Поверхность каждого жесткого поручня, ременного поручня или стойки должна иметь контрастную окраску и быть нескользящей.</w:t>
      </w:r>
    </w:p>
    <w:p>
      <w:pPr>
        <w:spacing w:after="120"/>
        <w:jc w:val="both"/>
      </w:pPr>
      <w:r>
        <w:rPr>
          <w:rFonts w:ascii="Arial" w:cs="Arial" w:eastAsia="Arial" w:hAnsi="Arial"/>
          <w:sz w:val="24"/>
          <w:szCs w:val="24"/>
        </w:rPr>
        <w:t xml:space="preserve">7. Требования к тормозному управлению.</w:t>
      </w:r>
    </w:p>
    <w:p>
      <w:pPr>
        <w:spacing w:after="120"/>
        <w:jc w:val="both"/>
      </w:pPr>
      <w:r>
        <w:rPr>
          <w:rFonts w:ascii="Arial" w:cs="Arial" w:eastAsia="Arial" w:hAnsi="Arial"/>
          <w:sz w:val="24"/>
          <w:szCs w:val="24"/>
        </w:rPr>
        <w:t xml:space="preserve">1) При торможении рабочей тормозной системой с начальной скоростью торможения 40 км/ч линейное отклонение автотранспортного средства должно быть не более:</w:t>
      </w:r>
    </w:p>
    <w:p>
      <w:pPr>
        <w:spacing w:after="120"/>
        <w:jc w:val="both"/>
      </w:pPr>
      <w:r>
        <w:rPr>
          <w:rFonts w:ascii="Arial" w:cs="Arial" w:eastAsia="Arial" w:hAnsi="Arial"/>
          <w:sz w:val="24"/>
          <w:szCs w:val="24"/>
        </w:rPr>
        <w:t xml:space="preserve">- 1,25 м - для автотранспортных средств, габаритные длина и ширина которых равны или менее соответственно 5 м и 2 м;</w:t>
      </w:r>
    </w:p>
    <w:p>
      <w:pPr>
        <w:spacing w:after="120"/>
        <w:jc w:val="both"/>
      </w:pPr>
      <w:r>
        <w:rPr>
          <w:rFonts w:ascii="Arial" w:cs="Arial" w:eastAsia="Arial" w:hAnsi="Arial"/>
          <w:sz w:val="24"/>
          <w:szCs w:val="24"/>
        </w:rPr>
        <w:t xml:space="preserve">- 1,5 м - для автотранспортных средств, габаритная длина которых более 5 м или габаритная ширина которых более 2 м, но не превышает 2,5 м;</w:t>
      </w:r>
    </w:p>
    <w:p>
      <w:pPr>
        <w:spacing w:after="120"/>
        <w:jc w:val="both"/>
      </w:pPr>
      <w:r>
        <w:rPr>
          <w:rFonts w:ascii="Arial" w:cs="Arial" w:eastAsia="Arial" w:hAnsi="Arial"/>
          <w:sz w:val="24"/>
          <w:szCs w:val="24"/>
        </w:rPr>
        <w:t xml:space="preserve">- 1,75 м - для автотранспортных средств, габаритная ширина которых более 2,5 м, но не превышает 3 м.</w:t>
      </w:r>
    </w:p>
    <w:p>
      <w:pPr>
        <w:spacing w:after="120"/>
        <w:jc w:val="both"/>
      </w:pPr>
      <w:r>
        <w:rPr>
          <w:rFonts w:ascii="Arial" w:cs="Arial" w:eastAsia="Arial" w:hAnsi="Arial"/>
          <w:sz w:val="24"/>
          <w:szCs w:val="24"/>
        </w:rPr>
        <w:t xml:space="preserve">2) Стояночная тормозная система должна обеспечивать значение общей удельной тормозной силы не менее 0,16 или неподвижное состояние автотранспортного средства полной массы на дороге с уклоном не менее 16 процентов, для автотранспортных средств в снаряженном состоянии на дороге с уклоном не менее 23 процентов - категории М и не менее 31 процента - категории N. Сила на органе управления стояночной тормозной системы при оценке ее эффективности торможения должна быть не более 392 Н (40 кгс) для автотранспортных средств категории М и 588 Н (60 кгс) для автотранспортных средств остальных категорий.</w:t>
      </w:r>
    </w:p>
    <w:p>
      <w:pPr>
        <w:spacing w:after="120"/>
        <w:jc w:val="both"/>
      </w:pPr>
      <w:r>
        <w:rPr>
          <w:rFonts w:ascii="Arial" w:cs="Arial" w:eastAsia="Arial" w:hAnsi="Arial"/>
          <w:sz w:val="24"/>
          <w:szCs w:val="24"/>
        </w:rPr>
        <w:t xml:space="preserve">8. Органы управления и контроля:</w:t>
      </w:r>
    </w:p>
    <w:p>
      <w:pPr>
        <w:spacing w:after="120"/>
        <w:jc w:val="both"/>
      </w:pPr>
      <w:r>
        <w:rPr>
          <w:rFonts w:ascii="Arial" w:cs="Arial" w:eastAsia="Arial" w:hAnsi="Arial"/>
          <w:sz w:val="24"/>
          <w:szCs w:val="24"/>
        </w:rPr>
        <w:t xml:space="preserve">- применяется ножной орган управления (педаль), который перемещается без помех, при нахождении ноги в естественном положении;</w:t>
      </w:r>
    </w:p>
    <w:p>
      <w:pPr>
        <w:spacing w:after="120"/>
        <w:jc w:val="both"/>
      </w:pPr>
      <w:r>
        <w:rPr>
          <w:rFonts w:ascii="Arial" w:cs="Arial" w:eastAsia="Arial" w:hAnsi="Arial"/>
          <w:sz w:val="24"/>
          <w:szCs w:val="24"/>
        </w:rPr>
        <w:t xml:space="preserve">- при нажатой до упора педали должен оставаться зазор между педалью и полом;</w:t>
      </w:r>
    </w:p>
    <w:p>
      <w:pPr>
        <w:spacing w:after="120"/>
        <w:jc w:val="both"/>
      </w:pPr>
      <w:r>
        <w:rPr>
          <w:rFonts w:ascii="Arial" w:cs="Arial" w:eastAsia="Arial" w:hAnsi="Arial"/>
          <w:sz w:val="24"/>
          <w:szCs w:val="24"/>
        </w:rPr>
        <w:t xml:space="preserve">- при отпускании педаль должна полностью возвращаться в исходное положение.</w:t>
      </w:r>
    </w:p>
    <w:p>
      <w:pPr>
        <w:spacing w:after="120"/>
        <w:jc w:val="both"/>
      </w:pPr>
      <w:r>
        <w:rPr>
          <w:rFonts w:ascii="Arial" w:cs="Arial" w:eastAsia="Arial" w:hAnsi="Arial"/>
          <w:sz w:val="24"/>
          <w:szCs w:val="24"/>
        </w:rPr>
        <w:t xml:space="preserve">9. Требования к шинам и колесам.</w:t>
      </w:r>
    </w:p>
    <w:p>
      <w:pPr>
        <w:spacing w:after="120"/>
        <w:jc w:val="both"/>
      </w:pPr>
      <w:r>
        <w:rPr>
          <w:rFonts w:ascii="Arial" w:cs="Arial" w:eastAsia="Arial" w:hAnsi="Arial"/>
          <w:sz w:val="24"/>
          <w:szCs w:val="24"/>
        </w:rPr>
        <w:t xml:space="preserve">1) Высота рисунка протектора шин должна быть не менее:</w:t>
      </w:r>
    </w:p>
    <w:p>
      <w:pPr>
        <w:spacing w:after="120"/>
        <w:jc w:val="both"/>
      </w:pPr>
      <w:r>
        <w:rPr>
          <w:rFonts w:ascii="Arial" w:cs="Arial" w:eastAsia="Arial" w:hAnsi="Arial"/>
          <w:sz w:val="24"/>
          <w:szCs w:val="24"/>
        </w:rPr>
        <w:t xml:space="preserve">- для легковых автомобилей - 1,6 мм;</w:t>
      </w:r>
    </w:p>
    <w:p>
      <w:pPr>
        <w:spacing w:after="120"/>
        <w:jc w:val="both"/>
      </w:pPr>
      <w:r>
        <w:rPr>
          <w:rFonts w:ascii="Arial" w:cs="Arial" w:eastAsia="Arial" w:hAnsi="Arial"/>
          <w:sz w:val="24"/>
          <w:szCs w:val="24"/>
        </w:rPr>
        <w:t xml:space="preserve">- для автобусов - 2,0 мм;</w:t>
      </w:r>
    </w:p>
    <w:p>
      <w:pPr>
        <w:spacing w:after="120"/>
        <w:jc w:val="both"/>
      </w:pPr>
      <w:r>
        <w:rPr>
          <w:rFonts w:ascii="Arial" w:cs="Arial" w:eastAsia="Arial" w:hAnsi="Arial"/>
          <w:sz w:val="24"/>
          <w:szCs w:val="24"/>
        </w:rPr>
        <w:t xml:space="preserve">- для прицепов и полуприцепов - тех же значений, что и для тягачей.</w:t>
      </w:r>
    </w:p>
    <w:p>
      <w:pPr>
        <w:spacing w:after="120"/>
        <w:jc w:val="both"/>
      </w:pPr>
      <w:r>
        <w:rPr>
          <w:rFonts w:ascii="Arial" w:cs="Arial" w:eastAsia="Arial" w:hAnsi="Arial"/>
          <w:sz w:val="24"/>
          <w:szCs w:val="24"/>
        </w:rPr>
        <w:t xml:space="preserve">2) Шины не должны иметь местные повреждения (пробои, порезы сквозные и несквозные), которые обнажают корд, а также местные отслоения протектора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Не допускается наличие инородных предметов между сдвоенными колесами.</w:t>
      </w:r>
    </w:p>
    <w:p>
      <w:pPr>
        <w:spacing w:after="120"/>
        <w:jc w:val="both"/>
      </w:pPr>
      <w:r>
        <w:rPr>
          <w:rFonts w:ascii="Arial" w:cs="Arial" w:eastAsia="Arial" w:hAnsi="Arial"/>
          <w:sz w:val="24"/>
          <w:szCs w:val="24"/>
        </w:rPr>
        <w:t xml:space="preserve">3) Давление воздуха в шинах должно соответствовать стандартам, действующим в Кыргызской Республике.</w:t>
      </w:r>
    </w:p>
    <w:p>
      <w:pPr>
        <w:spacing w:after="120"/>
        <w:jc w:val="both"/>
      </w:pPr>
      <w:r>
        <w:rPr>
          <w:rFonts w:ascii="Arial" w:cs="Arial" w:eastAsia="Arial" w:hAnsi="Arial"/>
          <w:sz w:val="24"/>
          <w:szCs w:val="24"/>
        </w:rPr>
        <w:t xml:space="preserve">Для измерения давления воздуха в шинах и их подкачивания сдвоенные колеса должны быть установлены так, чтобы вентильные отверстия в дисках были совмещены.</w:t>
      </w:r>
    </w:p>
    <w:p>
      <w:pPr>
        <w:spacing w:after="120"/>
        <w:jc w:val="both"/>
      </w:pPr>
      <w:r>
        <w:rPr>
          <w:rFonts w:ascii="Arial" w:cs="Arial" w:eastAsia="Arial" w:hAnsi="Arial"/>
          <w:sz w:val="24"/>
          <w:szCs w:val="24"/>
        </w:rPr>
        <w:t xml:space="preserve">Не допускается замена золотников заглушками, пробками и другими приспособлениями.</w:t>
      </w:r>
    </w:p>
    <w:p>
      <w:pPr>
        <w:spacing w:after="120"/>
        <w:jc w:val="both"/>
      </w:pPr>
      <w:r>
        <w:rPr>
          <w:rFonts w:ascii="Arial" w:cs="Arial" w:eastAsia="Arial" w:hAnsi="Arial"/>
          <w:sz w:val="24"/>
          <w:szCs w:val="24"/>
        </w:rPr>
        <w:t xml:space="preserve">4) Автотранспортные средства должны быть укомплектованы шинами в соответствии с требованиями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both"/>
      </w:pPr>
      <w:r>
        <w:rPr>
          <w:rFonts w:ascii="Arial" w:cs="Arial" w:eastAsia="Arial" w:hAnsi="Arial"/>
          <w:sz w:val="24"/>
          <w:szCs w:val="24"/>
        </w:rPr>
        <w:t xml:space="preserve">Не допускается установка:</w:t>
      </w:r>
    </w:p>
    <w:p>
      <w:pPr>
        <w:spacing w:after="120"/>
        <w:jc w:val="both"/>
      </w:pPr>
      <w:r>
        <w:rPr>
          <w:rFonts w:ascii="Arial" w:cs="Arial" w:eastAsia="Arial" w:hAnsi="Arial"/>
          <w:sz w:val="24"/>
          <w:szCs w:val="24"/>
        </w:rPr>
        <w:t xml:space="preserve">- на одну ось автобусов, легковых автомобилей, прицепов и полуприцепов к ним шин различных размеров, конструкций (радиальной, диагональной, камерной, бескамерной), моделей с различными рисунками протектора, ошипованных и неошипованных, морозостойких и неморозостойких;</w:t>
      </w:r>
    </w:p>
    <w:p>
      <w:pPr>
        <w:spacing w:after="120"/>
        <w:jc w:val="both"/>
      </w:pPr>
      <w:r>
        <w:rPr>
          <w:rFonts w:ascii="Arial" w:cs="Arial" w:eastAsia="Arial" w:hAnsi="Arial"/>
          <w:sz w:val="24"/>
          <w:szCs w:val="24"/>
        </w:rPr>
        <w:t xml:space="preserve">- шин с отремонтированными местными повреждениями на передней оси легковых автомобилей.</w:t>
      </w:r>
    </w:p>
    <w:p>
      <w:pPr>
        <w:spacing w:after="120"/>
        <w:jc w:val="both"/>
      </w:pPr>
      <w:r>
        <w:rPr>
          <w:rFonts w:ascii="Arial" w:cs="Arial" w:eastAsia="Arial" w:hAnsi="Arial"/>
          <w:sz w:val="24"/>
          <w:szCs w:val="24"/>
        </w:rPr>
        <w:t xml:space="preserve">5) Отсутствие хотя бы одного болта или гайки крепления дисков и ободьев колес, а также ослабление их затяжки не допускается.</w:t>
      </w:r>
    </w:p>
    <w:p>
      <w:pPr>
        <w:spacing w:after="120"/>
        <w:jc w:val="both"/>
      </w:pPr>
      <w:r>
        <w:rPr>
          <w:rFonts w:ascii="Arial" w:cs="Arial" w:eastAsia="Arial" w:hAnsi="Arial"/>
          <w:sz w:val="24"/>
          <w:szCs w:val="24"/>
        </w:rPr>
        <w:t xml:space="preserve">6) Наличие трещин на дисках и ободьях колес не допускается.</w:t>
      </w:r>
    </w:p>
    <w:p>
      <w:pPr>
        <w:spacing w:after="120"/>
        <w:jc w:val="both"/>
      </w:pPr>
      <w:r>
        <w:rPr>
          <w:rFonts w:ascii="Arial" w:cs="Arial" w:eastAsia="Arial" w:hAnsi="Arial"/>
          <w:sz w:val="24"/>
          <w:szCs w:val="24"/>
        </w:rPr>
        <w:t xml:space="preserve">10. Требования к средствам обеспечения обзорности:</w:t>
      </w:r>
    </w:p>
    <w:p>
      <w:pPr>
        <w:spacing w:after="120"/>
        <w:jc w:val="both"/>
      </w:pPr>
      <w:r>
        <w:rPr>
          <w:rFonts w:ascii="Arial" w:cs="Arial" w:eastAsia="Arial" w:hAnsi="Arial"/>
          <w:sz w:val="24"/>
          <w:szCs w:val="24"/>
        </w:rPr>
        <w:t xml:space="preserve">- водитель, который будет управлять транспортным средством, должен иметь возможность беспрепятственно видеть дорогу впереди себя, а также иметь обзор справа и слева от транспортного средства;</w:t>
      </w:r>
    </w:p>
    <w:p>
      <w:pPr>
        <w:spacing w:after="120"/>
        <w:jc w:val="both"/>
      </w:pPr>
      <w:r>
        <w:rPr>
          <w:rFonts w:ascii="Arial" w:cs="Arial" w:eastAsia="Arial" w:hAnsi="Arial"/>
          <w:sz w:val="24"/>
          <w:szCs w:val="24"/>
        </w:rPr>
        <w:t xml:space="preserve">- транспортное средство оборудуется встроенной на постоянной основе в конструкцию системой, способной очищать ветровое стекло от обледенения и запотевания. Система, использующая для очистки стекла нагретый воздух, должна иметь вентилятор и подвод воздуха к ветровому стеклу через сопла.</w:t>
      </w:r>
    </w:p>
    <w:p>
      <w:pPr>
        <w:spacing w:after="120"/>
        <w:jc w:val="both"/>
      </w:pPr>
      <w:r>
        <w:rPr>
          <w:rFonts w:ascii="Arial" w:cs="Arial" w:eastAsia="Arial" w:hAnsi="Arial"/>
          <w:sz w:val="24"/>
          <w:szCs w:val="24"/>
        </w:rPr>
        <w:t xml:space="preserve">11. Требования к стеклу, стеклоочистителям и стеклоомывателям ветрового стекла приведены в рисунке 1 </w:t>
      </w:r>
      <w:hyperlink w:history="1" r:id="rIdqhnqlqjj8i-t_s0jzzdu-">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 Размеры, предельные отклонения размеров должны соответствовать требованиям чертежей на конкретные изделия и не превышать значений, указанных в таблице 1 </w:t>
      </w:r>
      <w:hyperlink w:history="1" r:id="rIddo4ovk7jezsk4luceymb5">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Предельные отклонения размеров плоских изделий высшего сорта не должны быть более ±2,0 мм.</w:t>
      </w:r>
    </w:p>
    <w:p>
      <w:pPr>
        <w:spacing w:after="120"/>
        <w:jc w:val="both"/>
      </w:pPr>
      <w:r>
        <w:rPr>
          <w:rFonts w:ascii="Arial" w:cs="Arial" w:eastAsia="Arial" w:hAnsi="Arial"/>
          <w:sz w:val="24"/>
          <w:szCs w:val="24"/>
        </w:rPr>
        <w:t xml:space="preserve">3) Предельные отклонения толщины не должны превышать, мм:</w:t>
      </w:r>
    </w:p>
    <w:p>
      <w:pPr>
        <w:spacing w:after="120"/>
        <w:jc w:val="both"/>
      </w:pPr>
      <w:r>
        <w:rPr>
          <w:rFonts w:ascii="Arial" w:cs="Arial" w:eastAsia="Arial" w:hAnsi="Arial"/>
          <w:sz w:val="24"/>
          <w:szCs w:val="24"/>
        </w:rPr>
        <w:t xml:space="preserve">- для трехслойных изделий ±0,4;</w:t>
      </w:r>
    </w:p>
    <w:p>
      <w:pPr>
        <w:spacing w:after="120"/>
        <w:jc w:val="both"/>
      </w:pPr>
      <w:r>
        <w:rPr>
          <w:rFonts w:ascii="Arial" w:cs="Arial" w:eastAsia="Arial" w:hAnsi="Arial"/>
          <w:sz w:val="24"/>
          <w:szCs w:val="24"/>
        </w:rPr>
        <w:t xml:space="preserve">- для закаленных изделий ±0,3.</w:t>
      </w:r>
    </w:p>
    <w:p>
      <w:pPr>
        <w:spacing w:after="120"/>
        <w:jc w:val="both"/>
      </w:pPr>
      <w:r>
        <w:rPr>
          <w:rFonts w:ascii="Arial" w:cs="Arial" w:eastAsia="Arial" w:hAnsi="Arial"/>
          <w:sz w:val="24"/>
          <w:szCs w:val="24"/>
        </w:rPr>
        <w:t xml:space="preserve">Для закаленных изделий высшего сорта отклонение по толщине не должно превышать ±0,2 мм.</w:t>
      </w:r>
    </w:p>
    <w:p>
      <w:pPr>
        <w:spacing w:after="120"/>
        <w:jc w:val="both"/>
      </w:pPr>
      <w:r>
        <w:rPr>
          <w:rFonts w:ascii="Arial" w:cs="Arial" w:eastAsia="Arial" w:hAnsi="Arial"/>
          <w:sz w:val="24"/>
          <w:szCs w:val="24"/>
        </w:rPr>
        <w:t xml:space="preserve">4) Технические требования.</w:t>
      </w:r>
    </w:p>
    <w:p>
      <w:pPr>
        <w:spacing w:after="120"/>
        <w:jc w:val="both"/>
      </w:pPr>
      <w:r>
        <w:rPr>
          <w:rFonts w:ascii="Arial" w:cs="Arial" w:eastAsia="Arial" w:hAnsi="Arial"/>
          <w:sz w:val="24"/>
          <w:szCs w:val="24"/>
        </w:rPr>
        <w:t xml:space="preserve">Изделия должны изготовляться в соответствии с требованиями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и техническими условиями на конкретные изделия по конструкторской и технологической документации.</w:t>
      </w:r>
    </w:p>
    <w:p>
      <w:pPr>
        <w:spacing w:after="120"/>
        <w:jc w:val="both"/>
      </w:pPr>
      <w:r>
        <w:rPr>
          <w:rFonts w:ascii="Arial" w:cs="Arial" w:eastAsia="Arial" w:hAnsi="Arial"/>
          <w:sz w:val="24"/>
          <w:szCs w:val="24"/>
        </w:rPr>
        <w:t xml:space="preserve">5) Характеристики.</w:t>
      </w:r>
    </w:p>
    <w:p>
      <w:pPr>
        <w:spacing w:after="120"/>
        <w:jc w:val="both"/>
      </w:pPr>
      <w:r>
        <w:rPr>
          <w:rFonts w:ascii="Arial" w:cs="Arial" w:eastAsia="Arial" w:hAnsi="Arial"/>
          <w:sz w:val="24"/>
          <w:szCs w:val="24"/>
        </w:rPr>
        <w:t xml:space="preserve">Ветровые стекла наземного транспорта, техническое задание на которые утверждено после 1 января 1977 года, должны изготовляться из трехслойного стекла на пленке толщиной 0,76 мм.</w:t>
      </w:r>
    </w:p>
    <w:p>
      <w:pPr>
        <w:spacing w:after="120"/>
        <w:jc w:val="both"/>
      </w:pPr>
      <w:r>
        <w:rPr>
          <w:rFonts w:ascii="Arial" w:cs="Arial" w:eastAsia="Arial" w:hAnsi="Arial"/>
          <w:sz w:val="24"/>
          <w:szCs w:val="24"/>
        </w:rPr>
        <w:t xml:space="preserve">Допускается изготовление ветровых стекол для тихоходного транспорта, развивающего скорость до 30 км/ч, из закаленного стекла.</w:t>
      </w:r>
    </w:p>
    <w:p>
      <w:pPr>
        <w:spacing w:after="120"/>
        <w:jc w:val="both"/>
      </w:pPr>
      <w:r>
        <w:rPr>
          <w:rFonts w:ascii="Arial" w:cs="Arial" w:eastAsia="Arial" w:hAnsi="Arial"/>
          <w:sz w:val="24"/>
          <w:szCs w:val="24"/>
        </w:rPr>
        <w:t xml:space="preserve">Отклонение от плоскостности плоских изделий и отклонение гнутых изделий от заданной формы должны быть указаны в технических условиях или чертежах на конкретные изделия.</w:t>
      </w:r>
    </w:p>
    <w:p>
      <w:pPr>
        <w:spacing w:after="120"/>
        <w:jc w:val="both"/>
      </w:pPr>
      <w:r>
        <w:rPr>
          <w:rFonts w:ascii="Arial" w:cs="Arial" w:eastAsia="Arial" w:hAnsi="Arial"/>
          <w:sz w:val="24"/>
          <w:szCs w:val="24"/>
        </w:rPr>
        <w:t xml:space="preserve">Открытые и скользящие торцы изделий должны быть шлифованными, закрытые неподвижные - притупленными.</w:t>
      </w:r>
    </w:p>
    <w:p>
      <w:pPr>
        <w:spacing w:after="120"/>
        <w:jc w:val="both"/>
      </w:pPr>
      <w:r>
        <w:rPr>
          <w:rFonts w:ascii="Arial" w:cs="Arial" w:eastAsia="Arial" w:hAnsi="Arial"/>
          <w:sz w:val="24"/>
          <w:szCs w:val="24"/>
        </w:rPr>
        <w:t xml:space="preserve">По согласованию потребителя с изготовителем допускается другой вид обработки торцов.</w:t>
      </w:r>
    </w:p>
    <w:p>
      <w:pPr>
        <w:spacing w:after="120"/>
        <w:jc w:val="both"/>
      </w:pPr>
      <w:r>
        <w:rPr>
          <w:rFonts w:ascii="Arial" w:cs="Arial" w:eastAsia="Arial" w:hAnsi="Arial"/>
          <w:sz w:val="24"/>
          <w:szCs w:val="24"/>
        </w:rPr>
        <w:t xml:space="preserve">На открытых торцах сколы не допускаются. Размеры и количество допускаемых сколов на скользящих и неподвижных закрытых торцах должны соответствовать требованиям технических условий на конкретные изделия.</w:t>
      </w:r>
    </w:p>
    <w:p>
      <w:pPr>
        <w:spacing w:after="120"/>
        <w:jc w:val="both"/>
      </w:pPr>
      <w:r>
        <w:rPr>
          <w:rFonts w:ascii="Arial" w:cs="Arial" w:eastAsia="Arial" w:hAnsi="Arial"/>
          <w:sz w:val="24"/>
          <w:szCs w:val="24"/>
        </w:rPr>
        <w:t xml:space="preserve">6) Светопропускание стекол, обеспечивающих видимость для водителя, должно быть не менее:</w:t>
      </w:r>
    </w:p>
    <w:p>
      <w:pPr>
        <w:spacing w:after="120"/>
        <w:jc w:val="both"/>
      </w:pPr>
      <w:r>
        <w:rPr>
          <w:rFonts w:ascii="Arial" w:cs="Arial" w:eastAsia="Arial" w:hAnsi="Arial"/>
          <w:sz w:val="24"/>
          <w:szCs w:val="24"/>
        </w:rPr>
        <w:t xml:space="preserve">- 75 процентов - для ветровых стекол;</w:t>
      </w:r>
    </w:p>
    <w:p>
      <w:pPr>
        <w:spacing w:after="120"/>
        <w:jc w:val="both"/>
      </w:pPr>
      <w:r>
        <w:rPr>
          <w:rFonts w:ascii="Arial" w:cs="Arial" w:eastAsia="Arial" w:hAnsi="Arial"/>
          <w:sz w:val="24"/>
          <w:szCs w:val="24"/>
        </w:rPr>
        <w:t xml:space="preserve">- 70 процентов - для стекол, не являющихся ветровыми, входящих в нормативное поле обзора П, определяющее переднюю обзорность (см. рисунок 1).</w:t>
      </w:r>
    </w:p>
    <w:p>
      <w:pPr>
        <w:spacing w:after="120"/>
        <w:jc w:val="both"/>
      </w:pPr>
      <w:r>
        <w:rPr>
          <w:rFonts w:ascii="Arial" w:cs="Arial" w:eastAsia="Arial" w:hAnsi="Arial"/>
          <w:sz w:val="24"/>
          <w:szCs w:val="24"/>
        </w:rPr>
        <w:t xml:space="preserve">7) Автотранспортное средство должно быть оснащено предусмотренными конструкцией стеклоочистителями и стеклоомывателями ветрового стекла.</w:t>
      </w:r>
    </w:p>
    <w:p>
      <w:pPr>
        <w:spacing w:after="120"/>
        <w:jc w:val="both"/>
      </w:pPr>
      <w:r>
        <w:rPr>
          <w:rFonts w:ascii="Arial" w:cs="Arial" w:eastAsia="Arial" w:hAnsi="Arial"/>
          <w:sz w:val="24"/>
          <w:szCs w:val="24"/>
        </w:rPr>
        <w:t xml:space="preserve">8) Частота перемещения щеток по мокрому стеклу в режиме максимальной скорости стеклоочистителей должна быть не менее 35 двойных ходов в минуту.</w:t>
      </w:r>
    </w:p>
    <w:p>
      <w:pPr>
        <w:spacing w:after="120"/>
        <w:jc w:val="both"/>
      </w:pPr>
      <w:r>
        <w:rPr>
          <w:rFonts w:ascii="Arial" w:cs="Arial" w:eastAsia="Arial" w:hAnsi="Arial"/>
          <w:sz w:val="24"/>
          <w:szCs w:val="24"/>
        </w:rPr>
        <w:t xml:space="preserve">9) Угол размаха щеток по мокрому стеклу на максимальной скорости стеклоочистителей должен быть не менее предусмотренного в технической и нормативно-технической документации.</w:t>
      </w:r>
    </w:p>
    <w:p>
      <w:pPr>
        <w:spacing w:after="120"/>
        <w:jc w:val="both"/>
      </w:pPr>
      <w:r>
        <w:rPr>
          <w:rFonts w:ascii="Arial" w:cs="Arial" w:eastAsia="Arial" w:hAnsi="Arial"/>
          <w:sz w:val="24"/>
          <w:szCs w:val="24"/>
        </w:rPr>
        <w:t xml:space="preserve">10) Щетки стеклоочистителей должны вытирать очищаемую зону не более чем за 10 двойных ходов для автобусов и не более чем за 5 двойных ходов - для других автотранспортных средств так, чтобы общая ширина невытертых полос по краям зоны очистки не превышала 10 процентов длины щетки.</w:t>
      </w:r>
    </w:p>
    <w:p>
      <w:pPr>
        <w:spacing w:after="120"/>
        <w:jc w:val="both"/>
      </w:pPr>
      <w:r>
        <w:rPr>
          <w:rFonts w:ascii="Arial" w:cs="Arial" w:eastAsia="Arial" w:hAnsi="Arial"/>
          <w:sz w:val="24"/>
          <w:szCs w:val="24"/>
        </w:rPr>
        <w:t xml:space="preserve">При этом стеклоомыватели должны обеспечивать подачу жидкости в зоны очистки стекла в количестве, достаточном для смачивания стекла.</w:t>
      </w:r>
    </w:p>
    <w:p>
      <w:pPr>
        <w:spacing w:after="120"/>
        <w:jc w:val="both"/>
      </w:pPr>
      <w:r>
        <w:rPr>
          <w:rFonts w:ascii="Arial" w:cs="Arial" w:eastAsia="Arial" w:hAnsi="Arial"/>
          <w:sz w:val="24"/>
          <w:szCs w:val="24"/>
        </w:rPr>
        <w:t xml:space="preserve">12. Требования к спидометрам.</w:t>
      </w:r>
    </w:p>
    <w:p>
      <w:pPr>
        <w:spacing w:after="120"/>
        <w:jc w:val="both"/>
      </w:pPr>
      <w:r>
        <w:rPr>
          <w:rFonts w:ascii="Arial" w:cs="Arial" w:eastAsia="Arial" w:hAnsi="Arial"/>
          <w:sz w:val="24"/>
          <w:szCs w:val="24"/>
        </w:rPr>
        <w:t xml:space="preserve">На каждом транспортном средстве категории L, М и N имеется спидометр;</w:t>
      </w:r>
    </w:p>
    <w:p>
      <w:pPr>
        <w:spacing w:after="120"/>
        <w:jc w:val="both"/>
      </w:pPr>
      <w:r>
        <w:rPr>
          <w:rFonts w:ascii="Arial" w:cs="Arial" w:eastAsia="Arial" w:hAnsi="Arial"/>
          <w:sz w:val="24"/>
          <w:szCs w:val="24"/>
        </w:rPr>
        <w:t xml:space="preserve">показания спидометра видимы в любое время суток.</w:t>
      </w:r>
    </w:p>
    <w:p>
      <w:pPr>
        <w:spacing w:after="120"/>
        <w:jc w:val="both"/>
      </w:pPr>
      <w:r>
        <w:rPr>
          <w:rFonts w:ascii="Arial" w:cs="Arial" w:eastAsia="Arial" w:hAnsi="Arial"/>
          <w:sz w:val="24"/>
          <w:szCs w:val="24"/>
        </w:rPr>
        <w:t xml:space="preserve">13. Требования к внешним световым приборам.</w:t>
      </w:r>
    </w:p>
    <w:p>
      <w:pPr>
        <w:spacing w:after="120"/>
        <w:jc w:val="both"/>
      </w:pPr>
      <w:r>
        <w:rPr>
          <w:rFonts w:ascii="Arial" w:cs="Arial" w:eastAsia="Arial" w:hAnsi="Arial"/>
          <w:sz w:val="24"/>
          <w:szCs w:val="24"/>
        </w:rPr>
        <w:t xml:space="preserve">1) На автотранспортных средствах должны быть установлены внешние световые приборы, количество, расположение, углы видимости и цвет которых установлены настоящим Техническим регламентом.</w:t>
      </w:r>
    </w:p>
    <w:p>
      <w:pPr>
        <w:spacing w:after="120"/>
        <w:jc w:val="both"/>
      </w:pPr>
      <w:r>
        <w:rPr>
          <w:rFonts w:ascii="Arial" w:cs="Arial" w:eastAsia="Arial" w:hAnsi="Arial"/>
          <w:sz w:val="24"/>
          <w:szCs w:val="24"/>
        </w:rPr>
        <w:t xml:space="preserve">2) Все световые приборы, за исключением боковых световозвращателей, должны быть установлены на транспортном средстве таким образом, чтобы их оси отсчета были параллельны опорной плоскости транспортного средства и средней продольной вертикальной плоскости транспортного средства с погрешностью не более ±3.</w:t>
      </w:r>
    </w:p>
    <w:p>
      <w:pPr>
        <w:spacing w:after="120"/>
        <w:jc w:val="both"/>
      </w:pPr>
      <w:r>
        <w:rPr>
          <w:rFonts w:ascii="Arial" w:cs="Arial" w:eastAsia="Arial" w:hAnsi="Arial"/>
          <w:sz w:val="24"/>
          <w:szCs w:val="24"/>
        </w:rPr>
        <w:t xml:space="preserve">3) Снеговые приборы, выполняющие одну и ту же функцию на транспортном средстве, при парной установке должны быть размешены симметрично относительно вертикальной средней продольной плоскости транспортного средства. Допускается несимметричное расположение фар ближнего света, если это не снижает безопасность движения.</w:t>
      </w:r>
    </w:p>
    <w:p>
      <w:pPr>
        <w:spacing w:after="120"/>
        <w:jc w:val="both"/>
      </w:pPr>
      <w:r>
        <w:rPr>
          <w:rFonts w:ascii="Arial" w:cs="Arial" w:eastAsia="Arial" w:hAnsi="Arial"/>
          <w:sz w:val="24"/>
          <w:szCs w:val="24"/>
        </w:rPr>
        <w:t xml:space="preserve">4) Для транспортных средств, выполненных конструктивно асимметричными относительно средней продольной плоскости, допускается асимметричное размещение световых приборов относительно этой плоскости.</w:t>
      </w:r>
    </w:p>
    <w:p>
      <w:pPr>
        <w:spacing w:after="120"/>
        <w:jc w:val="both"/>
      </w:pPr>
      <w:r>
        <w:rPr>
          <w:rFonts w:ascii="Arial" w:cs="Arial" w:eastAsia="Arial" w:hAnsi="Arial"/>
          <w:sz w:val="24"/>
          <w:szCs w:val="24"/>
        </w:rPr>
        <w:t xml:space="preserve">5) Высоту расположения внешних световых приборов, устанавливаемых на транспортных средствах, следует проверять на ровной горизонтальной площадке, имеющей твердое покрытие. Транспортное средство должно быть без нагрузки, в снаряженном состоянии, без водителя.</w:t>
      </w:r>
    </w:p>
    <w:p>
      <w:pPr>
        <w:spacing w:after="120"/>
        <w:jc w:val="both"/>
      </w:pPr>
      <w:r>
        <w:rPr>
          <w:rFonts w:ascii="Arial" w:cs="Arial" w:eastAsia="Arial" w:hAnsi="Arial"/>
          <w:sz w:val="24"/>
          <w:szCs w:val="24"/>
        </w:rPr>
        <w:t xml:space="preserve">Углы геометрической видимости и линейные размеры следует измерять от освещающей поверхности снегового прибора.</w:t>
      </w:r>
    </w:p>
    <w:p>
      <w:pPr>
        <w:spacing w:after="120"/>
        <w:jc w:val="both"/>
      </w:pPr>
      <w:r>
        <w:rPr>
          <w:rFonts w:ascii="Arial" w:cs="Arial" w:eastAsia="Arial" w:hAnsi="Arial"/>
          <w:sz w:val="24"/>
          <w:szCs w:val="24"/>
        </w:rPr>
        <w:t xml:space="preserve">6) На автотранспортные средства могут быть установлены фары - прожекторы и прожекторы - искатели, если они предусмотрены их конструкцией.</w:t>
      </w:r>
    </w:p>
    <w:p>
      <w:pPr>
        <w:spacing w:after="120"/>
        <w:jc w:val="both"/>
      </w:pPr>
      <w:r>
        <w:rPr>
          <w:rFonts w:ascii="Arial" w:cs="Arial" w:eastAsia="Arial" w:hAnsi="Arial"/>
          <w:sz w:val="24"/>
          <w:szCs w:val="24"/>
        </w:rPr>
        <w:t xml:space="preserve">На автотранспортных средствах, снятых с производства, допускается установка внешних световых приборов автотранспортных средств других марок и моделей.</w:t>
      </w:r>
    </w:p>
    <w:p>
      <w:pPr>
        <w:spacing w:after="120"/>
        <w:jc w:val="both"/>
      </w:pPr>
      <w:r>
        <w:rPr>
          <w:rFonts w:ascii="Arial" w:cs="Arial" w:eastAsia="Arial" w:hAnsi="Arial"/>
          <w:sz w:val="24"/>
          <w:szCs w:val="24"/>
        </w:rPr>
        <w:t xml:space="preserve">7) Сигнализаторы включения световых приборов, находящиеся в салоне, должны быть в работоспособном состоянии.</w:t>
      </w:r>
    </w:p>
    <w:p>
      <w:pPr>
        <w:spacing w:after="120"/>
        <w:jc w:val="both"/>
      </w:pPr>
      <w:r>
        <w:rPr>
          <w:rFonts w:ascii="Arial" w:cs="Arial" w:eastAsia="Arial" w:hAnsi="Arial"/>
          <w:sz w:val="24"/>
          <w:szCs w:val="24"/>
        </w:rPr>
        <w:t xml:space="preserve">8) На автотранспортном средстве должны быть установлены основные фары одной системы светораспределения.</w:t>
      </w:r>
    </w:p>
    <w:p>
      <w:pPr>
        <w:spacing w:after="120"/>
        <w:jc w:val="both"/>
      </w:pPr>
      <w:r>
        <w:rPr>
          <w:rFonts w:ascii="Arial" w:cs="Arial" w:eastAsia="Arial" w:hAnsi="Arial"/>
          <w:sz w:val="24"/>
          <w:szCs w:val="24"/>
        </w:rPr>
        <w:t xml:space="preserve">9) Фары типов C (НС) и CR (HCR) должны быть отрегулированы так, чтобы плоскость, содержащая левую часть светотеневой границы пучка ближнего света, была наклонена к плоскости рабочей площадки на углы, указанные в таблице 2 </w:t>
      </w:r>
      <w:hyperlink w:history="1" r:id="rId3iypyvrdct_hxs4jtffkv">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Требования к рулевому управлению.</w:t>
      </w:r>
    </w:p>
    <w:p>
      <w:pPr>
        <w:spacing w:after="120"/>
        <w:jc w:val="both"/>
      </w:pPr>
      <w:r>
        <w:rPr>
          <w:rFonts w:ascii="Arial" w:cs="Arial" w:eastAsia="Arial" w:hAnsi="Arial"/>
          <w:sz w:val="24"/>
          <w:szCs w:val="24"/>
        </w:rPr>
        <w:t xml:space="preserve">1) Вращение рулевого колеса должно происходить без рывков и заеданий во всем диапазоне угла его поворота.</w:t>
      </w:r>
    </w:p>
    <w:p>
      <w:pPr>
        <w:spacing w:after="120"/>
        <w:jc w:val="both"/>
      </w:pPr>
      <w:r>
        <w:rPr>
          <w:rFonts w:ascii="Arial" w:cs="Arial" w:eastAsia="Arial" w:hAnsi="Arial"/>
          <w:sz w:val="24"/>
          <w:szCs w:val="24"/>
        </w:rPr>
        <w:t xml:space="preserve">2) Самопроизвольный поворот рулевого колеса автотранспортных средств с усилителем рулевого управления от нейтрального положения при их неподвижном состоянии и работающем двигателе не допускается.</w:t>
      </w:r>
    </w:p>
    <w:p>
      <w:pPr>
        <w:spacing w:after="120"/>
        <w:jc w:val="both"/>
      </w:pPr>
      <w:r>
        <w:rPr>
          <w:rFonts w:ascii="Arial" w:cs="Arial" w:eastAsia="Arial" w:hAnsi="Arial"/>
          <w:sz w:val="24"/>
          <w:szCs w:val="24"/>
        </w:rPr>
        <w:t xml:space="preserve">3) Суммарный люфт в рулевом управлении в регламентированных условиях испытаний для легковых автомобилей не должен превышать на базе их агрегатов 10 ºС.</w:t>
      </w:r>
    </w:p>
    <w:p>
      <w:pPr>
        <w:spacing w:after="120"/>
        <w:jc w:val="both"/>
      </w:pPr>
      <w:r>
        <w:rPr>
          <w:rFonts w:ascii="Arial" w:cs="Arial" w:eastAsia="Arial" w:hAnsi="Arial"/>
          <w:sz w:val="24"/>
          <w:szCs w:val="24"/>
        </w:rPr>
        <w:t xml:space="preserve">4) Максимальный поворот рулевого колеса должен ограничиваться только устройствами, предусмотренными конструкцией автотранспортного средства.</w:t>
      </w:r>
    </w:p>
    <w:p>
      <w:pPr>
        <w:spacing w:after="120"/>
        <w:jc w:val="both"/>
      </w:pPr>
      <w:r>
        <w:rPr>
          <w:rFonts w:ascii="Arial" w:cs="Arial" w:eastAsia="Arial" w:hAnsi="Arial"/>
          <w:sz w:val="24"/>
          <w:szCs w:val="24"/>
        </w:rPr>
        <w:t xml:space="preserve">5) Не предусмотренные конструкцией перемещения деталей и узлов рулевого управления относительно друг друга или опорной поверхности не допускаются. Резьбовые соединения должны быть затянуты и зафиксированы.</w:t>
      </w:r>
    </w:p>
    <w:p>
      <w:pPr>
        <w:spacing w:after="120"/>
        <w:jc w:val="both"/>
      </w:pPr>
      <w:r>
        <w:rPr>
          <w:rFonts w:ascii="Arial" w:cs="Arial" w:eastAsia="Arial" w:hAnsi="Arial"/>
          <w:sz w:val="24"/>
          <w:szCs w:val="24"/>
        </w:rPr>
        <w:t xml:space="preserve">6) Применение в рулевом механизме и рулевом приводе деталей со следами остаточной деформации, трещинами и другими дефектами не допускается.</w:t>
      </w:r>
    </w:p>
    <w:p>
      <w:pPr>
        <w:spacing w:after="120"/>
        <w:jc w:val="both"/>
      </w:pPr>
      <w:r>
        <w:rPr>
          <w:rFonts w:ascii="Arial" w:cs="Arial" w:eastAsia="Arial" w:hAnsi="Arial"/>
          <w:sz w:val="24"/>
          <w:szCs w:val="24"/>
        </w:rPr>
        <w:t xml:space="preserve">7) Натяжение ремня привода насоса усилителя рулевого управления и уровень рабочей жидкости в его резервуаре должны соответствовать требованиям руководства по эксплуатации автотранспортного средства.</w:t>
      </w:r>
    </w:p>
    <w:p>
      <w:pPr>
        <w:spacing w:after="120"/>
        <w:jc w:val="both"/>
      </w:pPr>
      <w:r>
        <w:rPr>
          <w:rFonts w:ascii="Arial" w:cs="Arial" w:eastAsia="Arial" w:hAnsi="Arial"/>
          <w:sz w:val="24"/>
          <w:szCs w:val="24"/>
        </w:rPr>
        <w:t xml:space="preserve">Подтекание рабочей жидкости в гидросистеме усилителя не допускается.</w:t>
      </w:r>
    </w:p>
    <w:p>
      <w:pPr>
        <w:spacing w:after="120"/>
        <w:jc w:val="both"/>
      </w:pPr>
      <w:r>
        <w:rPr>
          <w:rFonts w:ascii="Arial" w:cs="Arial" w:eastAsia="Arial" w:hAnsi="Arial"/>
          <w:sz w:val="24"/>
          <w:szCs w:val="24"/>
        </w:rPr>
        <w:t xml:space="preserve">8) Применение оплетки рулевого колеса не допускается, если наибольшая толщина обода с надетой на него оплеткой, с учетом толщины элементов ее крепления, превышает 40 мм или способ крепления не исключает проскальзывания оплетки вдоль обода и возможность ее самопроизвольного отсоединения от рулевого колеса.</w:t>
      </w:r>
    </w:p>
    <w:p>
      <w:pPr>
        <w:spacing w:after="120"/>
        <w:jc w:val="both"/>
      </w:pPr>
      <w:r>
        <w:rPr>
          <w:rFonts w:ascii="Arial" w:cs="Arial" w:eastAsia="Arial" w:hAnsi="Arial"/>
          <w:sz w:val="24"/>
          <w:szCs w:val="24"/>
        </w:rPr>
        <w:t xml:space="preserve">15. Требования к ремням безопасности и местам их крепления.</w:t>
      </w:r>
    </w:p>
    <w:p>
      <w:pPr>
        <w:spacing w:after="120"/>
        <w:jc w:val="both"/>
      </w:pPr>
      <w:r>
        <w:rPr>
          <w:rFonts w:ascii="Arial" w:cs="Arial" w:eastAsia="Arial" w:hAnsi="Arial"/>
          <w:sz w:val="24"/>
          <w:szCs w:val="24"/>
        </w:rPr>
        <w:t xml:space="preserve">1) Сиденья транспортных средств категорий М классов II, III и B, категорий N и L (с автомобильной компоновкой) за исключением сидений, предназначенных для использования исключительно в неподвижном транспортном средстве, оснащаются ремнями безопасности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В случае сидений, способных поворачиваться или устанавливаться в других направлениях, необходимо оснащение ремнями безопасности сидений, только установленных в направлении, предназначенном для использования при движении транспортного средства.</w:t>
      </w:r>
    </w:p>
    <w:p>
      <w:pPr>
        <w:spacing w:after="120"/>
        <w:jc w:val="both"/>
      </w:pPr>
      <w:r>
        <w:rPr>
          <w:rFonts w:ascii="Arial" w:cs="Arial" w:eastAsia="Arial" w:hAnsi="Arial"/>
          <w:sz w:val="24"/>
          <w:szCs w:val="24"/>
        </w:rPr>
        <w:t xml:space="preserve">2) С ремнями безопасности не допускается использование втягивающих устройств:</w:t>
      </w:r>
    </w:p>
    <w:p>
      <w:pPr>
        <w:spacing w:after="120"/>
        <w:jc w:val="both"/>
      </w:pPr>
      <w:r>
        <w:rPr>
          <w:rFonts w:ascii="Arial" w:cs="Arial" w:eastAsia="Arial" w:hAnsi="Arial"/>
          <w:sz w:val="24"/>
          <w:szCs w:val="24"/>
        </w:rPr>
        <w:t xml:space="preserve">- которые не имеют регулятора длины вытянутой лямки;</w:t>
      </w:r>
    </w:p>
    <w:p>
      <w:pPr>
        <w:spacing w:after="120"/>
        <w:jc w:val="both"/>
      </w:pPr>
      <w:r>
        <w:rPr>
          <w:rFonts w:ascii="Arial" w:cs="Arial" w:eastAsia="Arial" w:hAnsi="Arial"/>
          <w:sz w:val="24"/>
          <w:szCs w:val="24"/>
        </w:rPr>
        <w:t xml:space="preserve">- пряжка располагается в таком месте, чтобы она была легкодоступной для спасателя в том случае, если необходимо срочно высвободить из транспортного средства водителя или пассажира;</w:t>
      </w:r>
    </w:p>
    <w:p>
      <w:pPr>
        <w:spacing w:after="120"/>
        <w:jc w:val="both"/>
      </w:pPr>
      <w:r>
        <w:rPr>
          <w:rFonts w:ascii="Arial" w:cs="Arial" w:eastAsia="Arial" w:hAnsi="Arial"/>
          <w:sz w:val="24"/>
          <w:szCs w:val="24"/>
        </w:rPr>
        <w:t xml:space="preserve">- каждое место для сидения оборудуется местами крепления ремней безопасности, соответствующими типу применяемых ремней.</w:t>
      </w:r>
    </w:p>
    <w:p>
      <w:pPr>
        <w:spacing w:after="120"/>
        <w:jc w:val="both"/>
      </w:pPr>
      <w:r>
        <w:rPr>
          <w:rFonts w:ascii="Arial" w:cs="Arial" w:eastAsia="Arial" w:hAnsi="Arial"/>
          <w:sz w:val="24"/>
          <w:szCs w:val="24"/>
        </w:rPr>
        <w:t xml:space="preserve">16. Требования к сидениям и их креплениям.</w:t>
      </w:r>
    </w:p>
    <w:p>
      <w:pPr>
        <w:spacing w:after="120"/>
        <w:jc w:val="both"/>
      </w:pPr>
      <w:r>
        <w:rPr>
          <w:rFonts w:ascii="Arial" w:cs="Arial" w:eastAsia="Arial" w:hAnsi="Arial"/>
          <w:sz w:val="24"/>
          <w:szCs w:val="24"/>
        </w:rPr>
        <w:t xml:space="preserve">1) Сиденья надежно прикрепляются к шасси или иным частям транспортного средства.</w:t>
      </w:r>
    </w:p>
    <w:p>
      <w:pPr>
        <w:spacing w:after="120"/>
        <w:jc w:val="both"/>
      </w:pPr>
      <w:r>
        <w:rPr>
          <w:rFonts w:ascii="Arial" w:cs="Arial" w:eastAsia="Arial" w:hAnsi="Arial"/>
          <w:sz w:val="24"/>
          <w:szCs w:val="24"/>
        </w:rPr>
        <w:t xml:space="preserve">2) Над каждым сидячим местом должно быть предусмотрено свободное пространство, высотой не менее 90 см от наивысшей точки несжатой подушки сиденья и не менее 135 см от пола, на котором расположены ноги сидящего пассажира.</w:t>
      </w:r>
    </w:p>
    <w:p>
      <w:pPr>
        <w:spacing w:after="120"/>
        <w:jc w:val="both"/>
      </w:pPr>
      <w:r>
        <w:rPr>
          <w:rFonts w:ascii="Arial" w:cs="Arial" w:eastAsia="Arial" w:hAnsi="Arial"/>
          <w:sz w:val="24"/>
          <w:szCs w:val="24"/>
        </w:rPr>
        <w:t xml:space="preserve">3) Свободное пространство, указанное в пп.2 п.16 настоящего приложения, должно быть расположено над всей горизонтальной площадью, определение которой приведено ниже:</w:t>
      </w:r>
    </w:p>
    <w:p>
      <w:pPr>
        <w:spacing w:after="120"/>
        <w:jc w:val="both"/>
      </w:pPr>
      <w:r>
        <w:rPr>
          <w:rFonts w:ascii="Arial" w:cs="Arial" w:eastAsia="Arial" w:hAnsi="Arial"/>
          <w:sz w:val="24"/>
          <w:szCs w:val="24"/>
        </w:rPr>
        <w:t xml:space="preserve">- прямоугольный участок шириной 40 см, расположенный симметрично по отношению к вертикальному среднему сечению сиденья и имеющий длину L, указанную на рисунке 2 </w:t>
      </w:r>
      <w:hyperlink w:history="1" r:id="rIdbdafp5pdbdig6hhqphg20">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 на котором представлено сечение сиденья средней вертикальной плоскостью;</w:t>
      </w:r>
    </w:p>
    <w:p>
      <w:pPr>
        <w:spacing w:after="120"/>
        <w:jc w:val="both"/>
      </w:pPr>
      <w:r>
        <w:rPr>
          <w:rFonts w:ascii="Arial" w:cs="Arial" w:eastAsia="Arial" w:hAnsi="Arial"/>
          <w:sz w:val="24"/>
          <w:szCs w:val="24"/>
        </w:rPr>
        <w:t xml:space="preserve">- зона, предназначенная для ног сидящего пассажира и имеющая ту же ширину 40 см и глубину 30 см.</w:t>
      </w:r>
    </w:p>
    <w:p>
      <w:pPr>
        <w:spacing w:after="120"/>
        <w:jc w:val="both"/>
      </w:pPr>
      <w:r>
        <w:rPr>
          <w:rFonts w:ascii="Arial" w:cs="Arial" w:eastAsia="Arial" w:hAnsi="Arial"/>
          <w:sz w:val="24"/>
          <w:szCs w:val="24"/>
        </w:rPr>
        <w:t xml:space="preserve">Однако это пространство не включает в своей верхней части, прилегающей к боковой стенке транспортного средства, прямоугольный участок высотой 15 см шириной 10 см (рисунок 3 </w:t>
      </w:r>
      <w:hyperlink w:history="1" r:id="rIdjhzfz_cmy4jl4n52t0b7m">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4) В пространство, расположенное над упомянутой в пп.3 п.16 настоящего Приложения зоной, могут попадать следующие части:</w:t>
      </w:r>
    </w:p>
    <w:p>
      <w:pPr>
        <w:spacing w:after="120"/>
        <w:jc w:val="both"/>
      </w:pPr>
      <w:r>
        <w:rPr>
          <w:rFonts w:ascii="Arial" w:cs="Arial" w:eastAsia="Arial" w:hAnsi="Arial"/>
          <w:sz w:val="24"/>
          <w:szCs w:val="24"/>
        </w:rPr>
        <w:t xml:space="preserve">- спинка другого сиденья;</w:t>
      </w:r>
    </w:p>
    <w:p>
      <w:pPr>
        <w:spacing w:after="120"/>
        <w:jc w:val="both"/>
      </w:pPr>
      <w:r>
        <w:rPr>
          <w:rFonts w:ascii="Arial" w:cs="Arial" w:eastAsia="Arial" w:hAnsi="Arial"/>
          <w:sz w:val="24"/>
          <w:szCs w:val="24"/>
        </w:rPr>
        <w:t xml:space="preserve">- элементы конструкции, если они выступают внутрь зоны, имеющей форму треугольника, одна сторона которого прилегает к боковой стенке транспортного средства, вершина расположена на высоте 65 см от пола, а основание шириной 10 см расположено в верхней части данного пространства;</w:t>
      </w:r>
    </w:p>
    <w:p>
      <w:pPr>
        <w:spacing w:after="120"/>
        <w:jc w:val="both"/>
      </w:pPr>
      <w:r>
        <w:rPr>
          <w:rFonts w:ascii="Arial" w:cs="Arial" w:eastAsia="Arial" w:hAnsi="Arial"/>
          <w:sz w:val="24"/>
          <w:szCs w:val="24"/>
        </w:rPr>
        <w:t xml:space="preserve">- выступ, который (рисунок 4 </w:t>
      </w:r>
      <w:hyperlink w:history="1" r:id="rIdc3pq3ihuszntbaocmiupm">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 расположен в нижней части рассматриваемого пространства, прилегающего к боковой стенке транспортного средства, и поперечное сечение которого не превышает 200 см2 при максимальной ширине 10 см (рисунок 5 </w:t>
      </w:r>
      <w:hyperlink w:history="1" r:id="rIdh2wypnzientk5oy8jm3d3">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17. Требования к дверям, замкам и петлям дверей транспортных средств категорий М, N и L (с кузовом закрытого типа).</w:t>
      </w:r>
    </w:p>
    <w:p>
      <w:pPr>
        <w:spacing w:after="120"/>
        <w:jc w:val="both"/>
      </w:pPr>
      <w:r>
        <w:rPr>
          <w:rFonts w:ascii="Arial" w:cs="Arial" w:eastAsia="Arial" w:hAnsi="Arial"/>
          <w:sz w:val="24"/>
          <w:szCs w:val="24"/>
        </w:rPr>
        <w:t xml:space="preserve">Все двери, открывающие доступ в транспортное средство, имеют возможность надежно фиксироваться замками в закрытом состоянии.</w:t>
      </w:r>
    </w:p>
    <w:p>
      <w:pPr>
        <w:spacing w:after="120"/>
        <w:jc w:val="both"/>
      </w:pPr>
      <w:r>
        <w:rPr>
          <w:rFonts w:ascii="Arial" w:cs="Arial" w:eastAsia="Arial" w:hAnsi="Arial"/>
          <w:sz w:val="24"/>
          <w:szCs w:val="24"/>
        </w:rPr>
        <w:t xml:space="preserve">Двери для входа и выхода водителя и пассажиров, а также их дверные проемы должны иметь закругленные кромки.</w:t>
      </w:r>
    </w:p>
    <w:p>
      <w:pPr>
        <w:spacing w:after="120"/>
        <w:jc w:val="both"/>
      </w:pPr>
      <w:r>
        <w:rPr>
          <w:rFonts w:ascii="Arial" w:cs="Arial" w:eastAsia="Arial" w:hAnsi="Arial"/>
          <w:sz w:val="24"/>
          <w:szCs w:val="24"/>
        </w:rPr>
        <w:t xml:space="preserve">Ручки и органы управления, расположенные на внутренней поверхности двери, должны быть досягаемы с ближайшего места для сидения.</w:t>
      </w:r>
    </w:p>
    <w:p>
      <w:pPr>
        <w:spacing w:after="120"/>
        <w:jc w:val="both"/>
      </w:pPr>
      <w:r>
        <w:rPr>
          <w:rFonts w:ascii="Arial" w:cs="Arial" w:eastAsia="Arial" w:hAnsi="Arial"/>
          <w:sz w:val="24"/>
          <w:szCs w:val="24"/>
        </w:rPr>
        <w:t xml:space="preserve">18. Эмблемы и другие декоративные объекты, выступающие более чем на 10 мм, включая любую подложку над поверхностью, выступающие за поверхность обода колеса:</w:t>
      </w:r>
    </w:p>
    <w:p>
      <w:pPr>
        <w:spacing w:after="120"/>
        <w:jc w:val="both"/>
      </w:pPr>
      <w:r>
        <w:rPr>
          <w:rFonts w:ascii="Arial" w:cs="Arial" w:eastAsia="Arial" w:hAnsi="Arial"/>
          <w:sz w:val="24"/>
          <w:szCs w:val="24"/>
        </w:rPr>
        <w:t xml:space="preserve">- колеса не выступают за пределы наружного контура кузова в плане, за исключением шин, колпаков колес и гаек крепления колес;</w:t>
      </w:r>
    </w:p>
    <w:p>
      <w:pPr>
        <w:spacing w:after="120"/>
        <w:jc w:val="both"/>
      </w:pPr>
      <w:r>
        <w:rPr>
          <w:rFonts w:ascii="Arial" w:cs="Arial" w:eastAsia="Arial" w:hAnsi="Arial"/>
          <w:sz w:val="24"/>
          <w:szCs w:val="24"/>
        </w:rPr>
        <w:t xml:space="preserve">- боковые воздушные дефлекторы или водосточные желоба в том случае, если они не загнуты по направлению к кузову так, что их края не могут соприкоснуться с шаром диаметром 100 мм, имеют радиус закругления кромок не менее 1 мм;</w:t>
      </w:r>
    </w:p>
    <w:p>
      <w:pPr>
        <w:spacing w:after="120"/>
        <w:jc w:val="both"/>
      </w:pPr>
      <w:r>
        <w:rPr>
          <w:rFonts w:ascii="Arial" w:cs="Arial" w:eastAsia="Arial" w:hAnsi="Arial"/>
          <w:sz w:val="24"/>
          <w:szCs w:val="24"/>
        </w:rPr>
        <w:t xml:space="preserve">- концы бамперов загибаются в направлении к кузову так, чтобы с ними не мог соприкоснуться шар диаметром 100 мм, и расстояние между краем бампера и кузовом не превышает 20 мм. В качестве альтернативы концы бампера могут быть утоплены в углублениях кузова или иметь с кузовом общую поверхность;</w:t>
      </w:r>
    </w:p>
    <w:p>
      <w:pPr>
        <w:spacing w:after="120"/>
        <w:jc w:val="both"/>
      </w:pPr>
      <w:r>
        <w:rPr>
          <w:rFonts w:ascii="Arial" w:cs="Arial" w:eastAsia="Arial" w:hAnsi="Arial"/>
          <w:sz w:val="24"/>
          <w:szCs w:val="24"/>
        </w:rPr>
        <w:t xml:space="preserve">- ободки и козырьки фар не выступают по отношению к наиболее выступающей точке поверхности стекла фары более чем на 30 мм (при горизонтальном измерении от точки контакта сферы диаметром 100 мм одновременно со стеклом фары и с ободком (козырьком) фары);</w:t>
      </w:r>
    </w:p>
    <w:p>
      <w:pPr>
        <w:spacing w:after="120"/>
        <w:jc w:val="both"/>
      </w:pPr>
      <w:r>
        <w:rPr>
          <w:rFonts w:ascii="Arial" w:cs="Arial" w:eastAsia="Arial" w:hAnsi="Arial"/>
          <w:sz w:val="24"/>
          <w:szCs w:val="24"/>
        </w:rPr>
        <w:t xml:space="preserve">- кронштейны для домкрата не выступают за вертикальную проекцию линии пола, расположенную непосредственно над ними более чем на 10 мм;</w:t>
      </w:r>
    </w:p>
    <w:p>
      <w:pPr>
        <w:spacing w:after="120"/>
        <w:jc w:val="both"/>
      </w:pPr>
      <w:r>
        <w:rPr>
          <w:rFonts w:ascii="Arial" w:cs="Arial" w:eastAsia="Arial" w:hAnsi="Arial"/>
          <w:sz w:val="24"/>
          <w:szCs w:val="24"/>
        </w:rPr>
        <w:t xml:space="preserve">- выпускные трубы, выступающие за расположенную непосредственно над ними вертикальную проекцию линии пола более чем на 10 мм, заканчиваются насадкой или закругленной кромкой с радиусом закругления не менее 2,5 мм;</w:t>
      </w:r>
    </w:p>
    <w:p>
      <w:pPr>
        <w:spacing w:after="120"/>
        <w:jc w:val="both"/>
      </w:pPr>
      <w:r>
        <w:rPr>
          <w:rFonts w:ascii="Arial" w:cs="Arial" w:eastAsia="Arial" w:hAnsi="Arial"/>
          <w:sz w:val="24"/>
          <w:szCs w:val="24"/>
        </w:rPr>
        <w:t xml:space="preserve">- кромки подножек и ступенек должны закругляться;</w:t>
      </w:r>
    </w:p>
    <w:p>
      <w:pPr>
        <w:spacing w:after="120"/>
        <w:jc w:val="both"/>
      </w:pPr>
      <w:r>
        <w:rPr>
          <w:rFonts w:ascii="Arial" w:cs="Arial" w:eastAsia="Arial" w:hAnsi="Arial"/>
          <w:sz w:val="24"/>
          <w:szCs w:val="24"/>
        </w:rPr>
        <w:t xml:space="preserve">- радиус кривизны выступающих наружу краев боковых воздушных обтекателей, дождевых щитков и противогрязевых дефлекторов окон выполняется не менее 1 мм;</w:t>
      </w:r>
    </w:p>
    <w:p>
      <w:pPr>
        <w:spacing w:after="120"/>
        <w:jc w:val="both"/>
      </w:pPr>
      <w:r>
        <w:rPr>
          <w:rFonts w:ascii="Arial" w:cs="Arial" w:eastAsia="Arial" w:hAnsi="Arial"/>
          <w:sz w:val="24"/>
          <w:szCs w:val="24"/>
        </w:rPr>
        <w:t xml:space="preserve">- постоянно закрепленное на кузове транспортного средства запасное колесо, контейнер для аккумуляторных батарей, топливные баки, ресиверы тормозной системы и другие компоненты могут рассматриваться как части бокового защитного устройства, если они удовлетворяют выше установленным требованиям к его размерным характеристикам.</w:t>
      </w:r>
    </w:p>
    <w:p>
      <w:pPr>
        <w:spacing w:after="120"/>
        <w:jc w:val="both"/>
      </w:pPr>
      <w:r>
        <w:rPr>
          <w:rFonts w:ascii="Arial" w:cs="Arial" w:eastAsia="Arial" w:hAnsi="Arial"/>
          <w:sz w:val="24"/>
          <w:szCs w:val="24"/>
        </w:rPr>
        <w:t xml:space="preserve">Настоящий Технический регламент распространяется на сцепные шары, предназначенные для буксировки караванов и легких прицепов с полной конструктивной массой не более 3500 кг, и устанавливает размеры, необходимые для совместимости деталей механических соединительных устройств между легкими прицепами, караванами и буксирующим автомобилем в случае, когда автомобиль снабжен сцепным шаром.</w:t>
      </w:r>
    </w:p>
    <w:p>
      <w:pPr>
        <w:spacing w:after="120"/>
        <w:jc w:val="both"/>
      </w:pPr>
      <w:r>
        <w:rPr>
          <w:rFonts w:ascii="Arial" w:cs="Arial" w:eastAsia="Arial" w:hAnsi="Arial"/>
          <w:sz w:val="24"/>
          <w:szCs w:val="24"/>
        </w:rPr>
        <w:t xml:space="preserve">Настоящий Технический регламент не распространяется на тягово-сцепные устройства шарового типа специальных легковых автомобилей, предназначенных для буксировки специальных прицепов.</w:t>
      </w:r>
    </w:p>
    <w:p>
      <w:pPr>
        <w:spacing w:after="120"/>
        <w:jc w:val="both"/>
      </w:pPr>
      <w:r>
        <w:rPr>
          <w:rFonts w:ascii="Arial" w:cs="Arial" w:eastAsia="Arial" w:hAnsi="Arial"/>
          <w:sz w:val="24"/>
          <w:szCs w:val="24"/>
        </w:rPr>
        <w:t xml:space="preserve">Основные размеры сцепного шара должны соответствовать размерам, указанным на рисунке 6 </w:t>
      </w:r>
      <w:hyperlink w:history="1" r:id="rIdhszyr6pkwcvcf2myawsr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Свободное пространство вокруг шарового пальца должно соответствовать значениям, приведенным на рисунке 7 </w:t>
      </w:r>
      <w:hyperlink w:history="1" r:id="rIdtgonnfzibocykytyomfpk">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Центр сферической поверхности и ось шейки сцепного шара должны лежать в продольной вертикальной плоскости симметрии автомобиля.</w:t>
      </w:r>
    </w:p>
    <w:p>
      <w:pPr>
        <w:spacing w:after="120"/>
        <w:jc w:val="both"/>
      </w:pPr>
      <w:r>
        <w:rPr>
          <w:rFonts w:ascii="Arial" w:cs="Arial" w:eastAsia="Arial" w:hAnsi="Arial"/>
          <w:sz w:val="24"/>
          <w:szCs w:val="24"/>
        </w:rPr>
        <w:t xml:space="preserve">Высота расположения центра сцепного шара у автомобиля с полной конструктивной массой должна быть не менее 350 мм и не более 420 мм от опорной поверхности.</w:t>
      </w:r>
    </w:p>
    <w:p>
      <w:pPr>
        <w:spacing w:after="120"/>
        <w:jc w:val="both"/>
      </w:pPr>
      <w:r>
        <w:rPr>
          <w:rFonts w:ascii="Arial" w:cs="Arial" w:eastAsia="Arial" w:hAnsi="Arial"/>
          <w:sz w:val="24"/>
          <w:szCs w:val="24"/>
        </w:rPr>
        <w:t xml:space="preserve">На плоскости диаметром (18±1) мм сцепного шара тягово-сцепного устройства, предназначенного для буксировки прицепов полной конструктивной массой 3500 кг, должно быть нанесено обозначение "ISO 50". Кроме того, допускается нанесение знака предприятия-изготовителя.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в отношении отдельных изменений, внесенных в конструкцию транспортного средства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4826"/>
        <w:gridCol w:w="4932"/>
      </w:tblGrid>
      <w:tr>
        <w:tc>
          <w:tcPr>
            <w:tcW w:type="dxa" w:w="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конструкции транспортного средства</w:t>
            </w:r>
          </w:p>
        </w:tc>
        <w:tc>
          <w:tcPr>
            <w:tcW w:type="dxa" w:w="4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 которые должны быть выполнены при внесении изменений в конструкцию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типа кузова, связанное с установкой на шасси транспортного средства стандартных самосвальных и бортовых кузовов, цистерн, кузовов-фургонов (в том числе контейнеров), тента, прошедших оценку соответствия в составе данного типа транспортного средства, а также установка указанных типов кузовов взамен друг друга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1.2. Габаритная ширина не должна превышать 2,55 м (для изотермических кузовов транспортных средств допускается максимальная ширина 2,6 м), а высота 4,0 м.
 1.3. Кузов (цистерна) должен надежно крепиться к раме транспортного средства крепежными элементами, аналогичными по конструкции, количеству и материалу элементам крепления кузова или цистерны того же транспортного средства, изготовленного в условиях серийного производства, той же или большей технически допустимой максимальной массы</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грузовых автомобилях дополнительных топливных баков, в отношении которых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Дополнительные топливные баки должны быть установлены на предусмотренные изготовителем транспортного средства места и закреплены крепежными элементами, аналогичными по конструкции, количеству и применяемым материалам крепежных элементов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вместо бортовых и самосвальных кузовов и цистерн седельного сцепного устройства, в отношении которого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В тип транспортного средства должны быть включены модификации, оборудованные седельными сцепными устройствами. При внесении изменений в конструкцию транспортного средства применяются указанные устройства.
 3.2. Седельное устройство должно быть закреплено крепежными элементами, аналогичными по конструкции, количеству и применяемым материалам элементам транспортного средства.
 3.3. Расположение седельного устройства относительно заднего моста должно соответствовать его расположению на выпускаемых седельных тягачах того же типа и обеспечивать относительный поворот тягача и полуприцепа вокруг оси шкворня в горизонтальной плоскости не менее чем на 90 градусов в каждую сторону.
 3.4. Место расположения и установка задних внешних световых приборов и приборов освещения заднего государственного регистрационного знака транспортного средства должны соответствовать действующим в Кыргызской Республике стандартам.
 3.5. На тягаче должны быть установлены разъемные соединения для подключения электрооборудования и тормозных систем полуприцепа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грузовые автомобили грузоподъемных бортов, лебедок и гидравлических подъемников для самостоятельной погрузки и разгрузки грузов, в отношении которых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4.2. Габаритная ширина не должна превышать 2,55 м (для изотермических кузовов транспортных средств допускается максимальная ширина 2,6 м), а высота 4,0 м.
 4.3. Грузоподъемные борта, лебедки и гидравлические подъемники должны быть надежно закреплены стандартными крепежными деталями.
 4.4. Стрела гидравлического подъемника должна надежно фиксироваться от смещения при движении автомобиля.
 4.5. Грузоподъемный борт не должен иметь травмоопасных выступов и соответствовать действующим в Кыргызской Республике стандартам.
 4.6. Лебедка не должна выступать за переднюю плоскость переднего бампера. Допускается выступание лебедки в случае, если при движении автомобиля она закрыта защитным элементом.
 4.7. Место расположения и установка задних внешних световых приборов и приборов освещения заднего государственного регистрационного знака должны соответствовать действующим в Кыргызской Республике стандартам</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взамен бортов на грузовые бортовые автомобили и бортовые двухосные прицепы коников</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Габаритная ширина транспортного средства не должна превышать 2,55 м, а высота 4,0 м.
 5.2. Коники должны быть надежно закреплены стандартными крепежными деталями</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шасси грузовых автомобилей кузовов-фургонов, в отношении которых была проведена оценка соответствия в составе типа транспортного средства, для размещения мастерских, перевозки почты, промышленных и продовольственных товаров. Переоборудование автомобилей-фургонов общего назначения должно быть выполнено по аналогии с соответствующими микроавтобусами промышленного изготовления. При этом салон должен быть оборудован аварийными выходами, вентиляционными люками и освещением. Число мест для пассажиров и их расположение должны строго соответствовать требованиям завода-изготовителя</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6.2. Габаритная ширина кузова-фургона должна быть не более ширины бортового кузова автомобиля, но не более 2,55 м (для изотермических кузовов транспортных средств допускается максимальная ширина 2,6 м).
 6.3. Кузов-фургон должен надежно крепиться к раме автомобиля крепежными элементами, аналогичными по конструкции, количеству и материалу элементам крепления бортового кузова того же автомобиля, изготовленного в условиях серийного производства, той же или большей технически допустимой максимальной массы.
 6.4. Дверь фургона должна быть расположена сзади или справа по ходу движения автомобиля. Распашная боковая дверь фургона должна открываться слева направо по ходу движения автомобиля. Подножки боковой двери не должны выступать за боковой габарит автомобиля.
 6.5. При использовании ручки боковой двери поворотного типа (поворачивающейся в плоскости двери) открытый конец ручки должен быть направлен "назад" по ходу движения автомобиля и загнут по направлению "к двери"; сама ручка должна быть смонтирована таким образом, чтобы она поворачивалась в плоскости, параллельной двери, и не поворачивалась наружу. В закрытом положении конец ручки должен находиться в углублении или в защитном приспособлении. Ручка боковой двери фургона может выступать над поверхностью двери не более чем на 40 мм.
 6.6. Дверные петли фургона могут выступать над поверхностью дверей не более чем на 30 мм.
 6.7. Оборудование мастерской должно быть надежно закреплено. На наружной поверхности фургона не должно быть травмоопасных выступов, и она должна соответствовать действующим в Кыргызской Республике стандартам.
 6.8. Кабина водителя должна быть оборудована с обеих сторон стандартными зеркалами заднего вида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На транспортные средства может устанавливаться только газобаллонное оборудование, тип которого был сертифицирован и отвечал действующим в Кыргызской Республике стандартам для соответствующего семейства транспортных средств. Установка газобаллонного оборудования не должна приводить к понижению экологического класса транспортного средства.
 7.2. Размещение и установка оборудования для питания двигателя газообразным топливом должны осуществляться в соответствии действующим в Кыргызской Республике стандартом.
 7.3. Должна быть обеспечена поперечная статическая устойчивость транспортных средств категорий М в соответствии с требованиями подпункта 4.2 приложения 2 к настоящему Техническому регламенту в случае установки газовых баллонов на крыше. При этом допускается увеличение габаритной высоты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Окраска не более 30% от общей поверхности кузовов легковых автомобилей, микроавтобусов, минивенов, пикапов, в цвет, не соответствующий их основному цвету, внесенному в свидетельство о регистрации</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окраске не должна относиться аэрография нанесения на кузове, а также логотипы предприятий (физических, юридических лиц) так, как это оговорено в Правилах дорожного движения</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индивидуальном порядке в условиях СТО, крупных автохозяйствах и авторемзаводов, прицепов, полуприцепов, прицепов-роспусков и тяжеловесных прицепов, трейлеров для грузовых и легковых автомобилей</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Изготовленный прицеп-полуприцеп должен иметь внешнюю световую сигнализацию. По своим техническим параметрам прицепы-полуприцепы должны соответствовать аналогичным прицепам отечественного и зарубежного изготовления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средствам обеспечения обзорности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
        <w:gridCol w:w="1820"/>
        <w:gridCol w:w="8061"/>
      </w:tblGrid>
      <w:tr>
        <w:tc>
          <w:tcPr>
            <w:tcW w:type="dxa" w:w="2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термина</w:t>
            </w:r>
          </w:p>
        </w:tc>
        <w:tc>
          <w:tcPr>
            <w:tcW w:type="dxa" w:w="8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зоны A и B переднего окна</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зоны на наружной поверхности стекла автомобильного транспортного средства (АТС). Размеры нормативных зон A и B установлены настоящим стандартом. Нормативная зона A расположена внутри нормативной зоны B непосредственно перед водителем</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поле П</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поле передней обзорности в 180-градусном секторе, расположенное между горизонтальной плоскостью, являющейся верхней границей поля и проходящей на уровне глаз водителя, и тремя другими плоскостями, составляющими в совокупности нижнюю границу поля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Передняя обзорность</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Обзорность через переднее и боковые окна кабины, ограниченная полем зрения водителя, равным 180º в горизонтальной плоскости, при направлении линии взора с места водителя параллельно средней продольной плоскости АТС. Характеризуются размерами и расположением нормативных зон A и B переднего окна, степенью очистки нормативных зон A и B, нормативным полем обзора П, непросматриваемыми зонами в нормативном поле обзора П, а также непросматриваемыми зонами, создаваемыми стойками переднего окна</w:t>
            </w:r>
          </w:p>
        </w:tc>
      </w:tr>
    </w:tbl>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Рисунок 1</w:t>
      </w:r>
      <w:r>
        <w:rPr>
          <w:rFonts w:ascii="Arial" w:cs="Arial" w:eastAsia="Arial" w:hAnsi="Arial"/>
          <w:sz w:val="24"/>
          <w:szCs w:val="24"/>
        </w:rPr>
        <w:t xml:space="preserve">. Расположение нормативных зон А и В переднего окна и нормативного поля обзора П.</w:t>
      </w:r>
    </w:p>
    <w:p>
      <w:pPr>
        <w:spacing w:after="120"/>
        <w:jc w:val="left"/>
      </w:pPr>
      <w:r>
        <w:rPr>
          <w:rFonts w:ascii="Arial" w:cs="Arial" w:eastAsia="Arial" w:hAnsi="Arial"/>
          <w:sz w:val="24"/>
          <w:szCs w:val="24"/>
        </w:rPr>
        <w:t xml:space="preserve">1 - граница прозрачной части левого бокового окна; 
 2 - левая боковая стойка переднего окна; 
 3 - контур очистки переднего окна; 
 4 - граница нормативной зоны А; 
 5 - граница нормативной зоны В; 
 6 - граница прозрачной части переднего окна; 
 7 - правая боковая стойка переднего окна; 
 8 - граница прозрачной части правого бокового окна; 
 9 - следы от плоскостей, являющихся границами нормативного поля обзора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Размеры предельного отклонения ветрового стекла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4244"/>
        <w:gridCol w:w="2638"/>
        <w:gridCol w:w="2638"/>
      </w:tblGrid>
      <w:tr>
        <w:tc>
          <w:tcPr>
            <w:tcW w:type="dxa" w:w="6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изделия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не более</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мм</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Трехслойное плоское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4 - 7,5</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Трехслойное гнутое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5 - 7,5</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Закаленное плоское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Закаленное гнутое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Фары типов С (НС) и CR (HCR)</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777"/>
        <w:gridCol w:w="2620"/>
        <w:gridCol w:w="2082"/>
        <w:gridCol w:w="2082"/>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установки фары (по центру рассеивателей), Н, мм</w:t>
            </w:r>
          </w:p>
        </w:tc>
        <w:tc>
          <w:tcPr>
            <w:tcW w:type="dxa" w:w="2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наклона светового пучка в вертикальной плоскости альфа</w:t>
            </w:r>
          </w:p>
        </w:tc>
        <w:tc>
          <w:tcPr>
            <w:tcW w:type="dxa" w:w="41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проекции центра фары до свето-теневой границы пучка по экрану (мм), удаленному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 м</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м</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 до 700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700 "  800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  900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 1000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 1200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 1600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 сидениям и их креплениям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2</w:t>
      </w:r>
      <w:r>
        <w:rPr>
          <w:rFonts w:ascii="Arial" w:cs="Arial" w:eastAsia="Arial" w:hAnsi="Arial"/>
          <w:sz w:val="24"/>
          <w:szCs w:val="24"/>
        </w:rPr>
        <w:t xml:space="preserve"> — Длина зоны, предусмотренной для сиденья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3</w:t>
      </w:r>
      <w:r>
        <w:rPr>
          <w:rFonts w:ascii="Arial" w:cs="Arial" w:eastAsia="Arial" w:hAnsi="Arial"/>
          <w:sz w:val="24"/>
          <w:szCs w:val="24"/>
        </w:rPr>
        <w:t xml:space="preserve"> - Допустимое выступание конструкции внутрь зоны над сиденьем.</w:t>
      </w:r>
    </w:p>
    <w:p>
      <w:pPr>
        <w:spacing w:after="120"/>
        <w:jc w:val="both"/>
      </w:pPr>
      <w:r>
        <w:rPr>
          <w:rFonts w:ascii="Arial" w:cs="Arial" w:eastAsia="Arial" w:hAnsi="Arial"/>
          <w:sz w:val="24"/>
          <w:szCs w:val="24"/>
        </w:rPr>
        <w:t xml:space="preserve"> Поперечное сечение минимально свободного пространства над сиденьем, размещенным возле боковой стенки транспортного средства.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Рисунок 4</w:t>
      </w:r>
      <w:r>
        <w:rPr>
          <w:rFonts w:ascii="Arial" w:cs="Arial" w:eastAsia="Arial" w:hAnsi="Arial"/>
          <w:sz w:val="24"/>
          <w:szCs w:val="24"/>
        </w:rPr>
        <w:t xml:space="preserve"> - Допустимое выступание деталей конструкции внутрь зоны сиденья. Определение треугольной зоны, в которую может выступать элемент конструкции</w:t>
      </w:r>
      <w:r>
        <w:rPr>
          <w:rFonts w:ascii="Arial" w:cs="Arial" w:eastAsia="Arial" w:hAnsi="Arial"/>
          <w:sz w:val="24"/>
          <w:szCs w:val="24"/>
        </w:rPr>
        <w:t xml:space="preserve">	</w:t>
      </w:r>
      <w:r>
        <w:rPr>
          <w:rFonts w:ascii="Arial" w:cs="Arial" w:eastAsia="Arial" w:hAnsi="Arial"/>
          <w:b/>
          <w:bCs/>
          <w:sz w:val="24"/>
          <w:szCs w:val="24"/>
        </w:rPr>
        <w:t xml:space="preserve">Рисунок 5</w:t>
      </w:r>
      <w:r>
        <w:rPr>
          <w:rFonts w:ascii="Arial" w:cs="Arial" w:eastAsia="Arial" w:hAnsi="Arial"/>
          <w:sz w:val="24"/>
          <w:szCs w:val="24"/>
        </w:rPr>
        <w:t xml:space="preserve"> - Допустимый выступ в нижней части пространства, отведенного для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6. </w:t>
      </w:r>
      <w:r>
        <w:rPr>
          <w:rFonts w:ascii="Arial" w:cs="Arial" w:eastAsia="Arial" w:hAnsi="Arial"/>
          <w:sz w:val="24"/>
          <w:szCs w:val="24"/>
        </w:rPr>
        <w:t xml:space="preserve">Основные размеры сцепного шара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Диаметр шейки шарового пальца от 27 до 29 мм измеряется в горизонтальной плоскости, расположенной не менее чем на 32 мм ниже точки О.</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7</w:t>
      </w:r>
      <w:r>
        <w:rPr>
          <w:rFonts w:ascii="Arial" w:cs="Arial" w:eastAsia="Arial" w:hAnsi="Arial"/>
          <w:sz w:val="24"/>
          <w:szCs w:val="24"/>
        </w:rPr>
        <w:t xml:space="preserve">. Свободное пространство вокруг шарового пальца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Свободное пространство вокруг шарового пальца должно обеспечивать:</w:t>
      </w:r>
    </w:p>
    <w:p>
      <w:pPr>
        <w:spacing w:after="120"/>
        <w:jc w:val="both"/>
      </w:pPr>
      <w:r>
        <w:rPr>
          <w:rFonts w:ascii="Arial" w:cs="Arial" w:eastAsia="Arial" w:hAnsi="Arial"/>
          <w:sz w:val="24"/>
          <w:szCs w:val="24"/>
        </w:rPr>
        <w:t xml:space="preserve">а) возможность отклонения замкового устройства прицепа относительно сцепного шара:</w:t>
      </w:r>
    </w:p>
    <w:p>
      <w:pPr>
        <w:spacing w:after="120"/>
        <w:jc w:val="both"/>
      </w:pPr>
      <w:r>
        <w:rPr>
          <w:rFonts w:ascii="Arial" w:cs="Arial" w:eastAsia="Arial" w:hAnsi="Arial"/>
          <w:sz w:val="24"/>
          <w:szCs w:val="24"/>
        </w:rPr>
        <w:t xml:space="preserve">в горизонтальной плоскости на угол β не менее 60;</w:t>
      </w:r>
    </w:p>
    <w:p>
      <w:pPr>
        <w:spacing w:after="120"/>
        <w:jc w:val="both"/>
      </w:pPr>
      <w:r>
        <w:rPr>
          <w:rFonts w:ascii="Arial" w:cs="Arial" w:eastAsia="Arial" w:hAnsi="Arial"/>
          <w:sz w:val="24"/>
          <w:szCs w:val="24"/>
        </w:rPr>
        <w:t xml:space="preserve">в вертикальной плоскости на угол α не менее 25;</w:t>
      </w:r>
    </w:p>
    <w:p>
      <w:pPr>
        <w:spacing w:after="120"/>
        <w:jc w:val="both"/>
      </w:pPr>
      <w:r>
        <w:rPr>
          <w:rFonts w:ascii="Arial" w:cs="Arial" w:eastAsia="Arial" w:hAnsi="Arial"/>
          <w:sz w:val="24"/>
          <w:szCs w:val="24"/>
        </w:rPr>
        <w:t xml:space="preserve">б) возможность сцепки и расцепки при отклонении замкового устройства прицепа относительно сцепного шара:</w:t>
      </w:r>
    </w:p>
    <w:p>
      <w:pPr>
        <w:spacing w:after="120"/>
        <w:jc w:val="both"/>
      </w:pPr>
      <w:r>
        <w:rPr>
          <w:rFonts w:ascii="Arial" w:cs="Arial" w:eastAsia="Arial" w:hAnsi="Arial"/>
          <w:sz w:val="24"/>
          <w:szCs w:val="24"/>
        </w:rPr>
        <w:t xml:space="preserve">в горизонтальной плоскости на угол β не менее 60;</w:t>
      </w:r>
    </w:p>
    <w:p>
      <w:pPr>
        <w:spacing w:after="120"/>
        <w:jc w:val="both"/>
      </w:pPr>
      <w:r>
        <w:rPr>
          <w:rFonts w:ascii="Arial" w:cs="Arial" w:eastAsia="Arial" w:hAnsi="Arial"/>
          <w:sz w:val="24"/>
          <w:szCs w:val="24"/>
        </w:rPr>
        <w:t xml:space="preserve">в вертикальной плоскости на угол α не менее 10.</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am8rohef7truh5qqxg2p" Type="http://schemas.openxmlformats.org/officeDocument/2006/relationships/hyperlink" Target="http://kodeks.duckdns.org/document/96278" TargetMode="External"/><Relationship Id="rIduqsokmp-bq08pxeqxznx0" Type="http://schemas.openxmlformats.org/officeDocument/2006/relationships/hyperlink" Target="http://kodeks.duckdns.org/document/96279#p1" TargetMode="External"/><Relationship Id="rIdiffprl85g1ih-kkctzmxo" Type="http://schemas.openxmlformats.org/officeDocument/2006/relationships/hyperlink" Target="http://kodeks.duckdns.org/document/96279#p2" TargetMode="External"/><Relationship Id="rIdqhnqlqjj8i-t_s0jzzdu-" Type="http://schemas.openxmlformats.org/officeDocument/2006/relationships/hyperlink" Target="http://kodeks.duckdns.org/document/96279#p2" TargetMode="External"/><Relationship Id="rIddo4ovk7jezsk4luceymb5" Type="http://schemas.openxmlformats.org/officeDocument/2006/relationships/hyperlink" Target="http://kodeks.duckdns.org/document/96279#p2" TargetMode="External"/><Relationship Id="rId3iypyvrdct_hxs4jtffkv" Type="http://schemas.openxmlformats.org/officeDocument/2006/relationships/hyperlink" Target="http://kodeks.duckdns.org/document/96279#p2" TargetMode="External"/><Relationship Id="rIdbdafp5pdbdig6hhqphg20" Type="http://schemas.openxmlformats.org/officeDocument/2006/relationships/hyperlink" Target="http://kodeks.duckdns.org/document/96279#p2" TargetMode="External"/><Relationship Id="rIdjhzfz_cmy4jl4n52t0b7m" Type="http://schemas.openxmlformats.org/officeDocument/2006/relationships/hyperlink" Target="http://kodeks.duckdns.org/document/96279#p2" TargetMode="External"/><Relationship Id="rIdc3pq3ihuszntbaocmiupm" Type="http://schemas.openxmlformats.org/officeDocument/2006/relationships/hyperlink" Target="http://kodeks.duckdns.org/document/96279#p2" TargetMode="External"/><Relationship Id="rIdh2wypnzientk5oy8jm3d3" Type="http://schemas.openxmlformats.org/officeDocument/2006/relationships/hyperlink" Target="http://kodeks.duckdns.org/document/96279#p2" TargetMode="External"/><Relationship Id="rIdhszyr6pkwcvcf2myawsrq" Type="http://schemas.openxmlformats.org/officeDocument/2006/relationships/hyperlink" Target="http://kodeks.duckdns.org/document/96279#p2" TargetMode="External"/><Relationship Id="rIdtgonnfzibocykytyomfpk" Type="http://schemas.openxmlformats.org/officeDocument/2006/relationships/hyperlink" Target="http://kodeks.duckdns.org/document/96279#p2"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2026-09-23T12:31:23.790Z</dcterms:created>
  <dcterms:modified xsi:type="dcterms:W3CDTF">2026-09-23T12:31:23.790Z</dcterms:modified>
</cp:coreProperties>
</file>

<file path=docProps/custom.xml><?xml version="1.0" encoding="utf-8"?>
<Properties xmlns="http://schemas.openxmlformats.org/officeDocument/2006/custom-properties" xmlns:vt="http://schemas.openxmlformats.org/officeDocument/2006/docPropsVTypes"/>
</file>