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  </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 делу о проверке конституционности нормативных положений части 2 статьи 339 Уголовно-процессуального кодекса Кыргызской Республики в связи с обращениями граждан Иманалиева Курманбека Белековича и Богдановой Юлии Алексеевны в интересах Айталиева Куручбека Уяловича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декабря 2014 года № 60-р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 Ш., судей Айдарбековой Ч. А., Бобукеевой М. Р., Мамырова Э. Т., Нарынбековой А. О., Осконбаева Э. Ж., Осмоновой Ч. О., Сооронкуловой К. С., при секретаре Толобалдиеве М. Э., с участием:</w:t>
      </w:r>
    </w:p>
    <w:p>
      <w:pPr>
        <w:spacing w:after="120"/>
        <w:jc w:val="both"/>
      </w:pPr>
      <w:r>
        <w:rPr>
          <w:rFonts w:ascii="Arial" w:cs="Arial" w:eastAsia="Arial" w:hAnsi="Arial"/>
          <w:sz w:val="24"/>
          <w:szCs w:val="24"/>
        </w:rPr>
        <w:t xml:space="preserve">- обращающейся стороны – граждан Иманалиева К. Б., Богдановой Ю. А., представляющей интересы Айталиева К. У. по доверенности;</w:t>
      </w:r>
    </w:p>
    <w:p>
      <w:pPr>
        <w:spacing w:after="120"/>
        <w:jc w:val="both"/>
      </w:pPr>
      <w:r>
        <w:rPr>
          <w:rFonts w:ascii="Arial" w:cs="Arial" w:eastAsia="Arial" w:hAnsi="Arial"/>
          <w:sz w:val="24"/>
          <w:szCs w:val="24"/>
        </w:rPr>
        <w:t xml:space="preserve">- стороны-ответчика – Урумкалиевой Ч. Ч., Арзиева М. И., представляющих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представителей Верховного суда Кыргызской Республики Бокошевой Ж. С. и Генеральной прокуратуры Кыргызской Республики Шукурбекова А. Ш., по доверенности, руководствуясь частями 1, 6, 8, 9, 10 статьи 97 </w:t>
      </w:r>
      <w:hyperlink w:history="1" r:id="rIdhez984r7mwqkwoc2or6_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div2s0ujye1smwqxdgcv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нормативных положений части 2 статьи 339 Уголовно-процессуального </w:t>
      </w:r>
      <w:hyperlink w:history="1" r:id="rIdraw35wdxp5wpbvbj49wk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регламентирующих запрет на обжалование в апелляционном порядке постановлений суда первой инстанции, вынесенных в ходе судебного разбирательства, касающихся ходатайств участников процесса, а также избрания, изменения или отмены меры пресечения, неконституционными и противоречащими пунктам 3, 8 части 5 статьи 20, частям 1, 3 статьи 24, части 1 статьи 25, части 1 статьи 40 </w:t>
      </w:r>
      <w:hyperlink w:history="1" r:id="rIdffvyyqd7c0y65rtfky0m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граждан Иманалиева К. Б., Богдановой Ю. А. в интересах гражданина Айталиева К. У.</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l0qmyxrqp8-_dv9p55by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нормативные положения части 2 статьи 339 Уголовно-процессуального </w:t>
      </w:r>
      <w:hyperlink w:history="1" r:id="rIdlv4m0_ga4a_emkujrzr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Бобукеевой М. Р.,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16 июня 2014 года обратился гражданин Иманалиев К. Б. о признании нормативного положения части 2 статьи 339 Уголовно-процессуального </w:t>
      </w:r>
      <w:hyperlink w:history="1" r:id="rIdh0cefma4jyqwrgr17v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«избрания, изменения или отмены меры пресечения», неконституционными и противоречащими пунктам 3, 8 части 5 статьи 20, частям 1, 3 статьи 24, части 1 статьи 25, части 1 статьи 40 </w:t>
      </w:r>
      <w:hyperlink w:history="1" r:id="rId9op0bffnz7p3a_8y6t_u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Иманалиева К. Б. следует, что постановлением Первомайского районного суда города Бишкек от 8 октября 2013 года в отношении Сейталиева А. К. изменена мера пресечения – с подписки о невыезде на заключение под стражу, мотивируя свое решение тем, что замена защитника на стадии прений сторон, как попытку затянуть рассмотрение дела, по существу. Обозначенное постановление обжаловано в кассационном порядке в Бишкекский городской суд, однако на принесенную частную жалобу был получен письменный ответ со ссылкой на часть 2 статьи 339 Уголовно-процессуального </w:t>
      </w:r>
      <w:hyperlink w:history="1" r:id="rIdk9x-4u75gnpzt0fnvum3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слова «избрания, изменения или отмены меры пресечения», содержащиеся в части 2 статьи 339 Уголовно-процессуального </w:t>
      </w:r>
      <w:hyperlink w:history="1" r:id="rIdxg7nvuu_noo8bsmeo7ld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нарушают права и свободы человека, поскольку каждый должен иметь право на судебную защиту.</w:t>
      </w:r>
    </w:p>
    <w:p>
      <w:pPr>
        <w:spacing w:after="120"/>
        <w:jc w:val="both"/>
      </w:pPr>
      <w:r>
        <w:rPr>
          <w:rFonts w:ascii="Arial" w:cs="Arial" w:eastAsia="Arial" w:hAnsi="Arial"/>
          <w:sz w:val="24"/>
          <w:szCs w:val="24"/>
        </w:rPr>
        <w:t xml:space="preserve">Определением коллегии судей Конституционной палаты от 9 июля 2014 года ходатайство Иманалиева К. Б.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10 сентября 2014 года обратилась гражданка Богданова Ю. А. в интересах гражданина Айталиева К. У. о признании части 2 статьи 339 Уголовно-процессуального </w:t>
      </w:r>
      <w:hyperlink w:history="1" r:id="rIdkv3pql6j4coulyk2nsqz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запрета на обжалование вынесенного в ходе судебного разбирательства постановления, касающегося ходатайств участников процесса, неконституционной и противоречащей пункту 3, 8 части 5 статьи 20 </w:t>
      </w:r>
      <w:hyperlink w:history="1" r:id="rIdyy-0qggw1n5lh0a53gx7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Богдановой Ю. А. в интересах Айталиева К. У. и приложенных материалов следует, что постановлением Ленинского районного суда от 17 марта 2014 года ходатайство Богдановой Ю. А. о возвращении уголовного дела прокурору для восполнения пробелов следствия, неустранимых в суде, отклонено и предоставлен десятидневный срок для обжалования данного постановления в Бишкекском городском суде. Определением судебной коллегии Бишкекского городского суда от 15 мая 2014 года производство по жалобе Богдановой Ю. А. на указанное постановление районного суда прекращено со ссылкой на часть 2 статьи 339 Уголовно-процессуального </w:t>
      </w:r>
      <w:hyperlink w:history="1" r:id="rIdmoxfs7ogpunr-76rkj6i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Так же со ссылкой на часть 2 статьи 339 Уголовно-процессуального </w:t>
      </w:r>
      <w:hyperlink w:history="1" r:id="rId4smlbziy594yf9w6mawh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постановлением Верховного суда Кыргызской Республики от 5 августа 2014 года обозначенное определение городского суда оставлено в силе, а надзорная жалоба Богдановой Ю. А. – без удовлетворения.</w:t>
      </w:r>
    </w:p>
    <w:p>
      <w:pPr>
        <w:spacing w:after="120"/>
        <w:jc w:val="both"/>
      </w:pPr>
      <w:r>
        <w:rPr>
          <w:rFonts w:ascii="Arial" w:cs="Arial" w:eastAsia="Arial" w:hAnsi="Arial"/>
          <w:sz w:val="24"/>
          <w:szCs w:val="24"/>
        </w:rPr>
        <w:t xml:space="preserve">Богданова Ю. А. отмечает, что в случае с делом Айталиева К. У. обжалуется не постановление суда по ходатайству о порядке исследования доказательств в суде, а процессуальные нарушения, допущенные следователем, которые невозможно устранить в суде.</w:t>
      </w:r>
    </w:p>
    <w:p>
      <w:pPr>
        <w:spacing w:after="120"/>
        <w:jc w:val="both"/>
      </w:pPr>
      <w:r>
        <w:rPr>
          <w:rFonts w:ascii="Arial" w:cs="Arial" w:eastAsia="Arial" w:hAnsi="Arial"/>
          <w:sz w:val="24"/>
          <w:szCs w:val="24"/>
        </w:rPr>
        <w:t xml:space="preserve">Заявитель считает, что суд апелляционной инстанции, не рассмотрев жалобу по существу, тем самым лишил Айталиева К. У. права на пересмотр судебного акта вышестоящим судом, что нарушает принципы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3 октября 2014 года ходатайство Богдановой Ю. А. в интересах Айталиева К. У. было принято к производству.</w:t>
      </w:r>
    </w:p>
    <w:p>
      <w:pPr>
        <w:spacing w:after="120"/>
        <w:jc w:val="both"/>
      </w:pPr>
      <w:r>
        <w:rPr>
          <w:rFonts w:ascii="Arial" w:cs="Arial" w:eastAsia="Arial" w:hAnsi="Arial"/>
          <w:sz w:val="24"/>
          <w:szCs w:val="24"/>
        </w:rPr>
        <w:t xml:space="preserve">Поскольку вышеуказанные ходатайства касаются одного и того же предмета, определением судьи Конституционной палаты от 10 октября 2014 года на основании пункта 6 части 1 статьи 30 </w:t>
      </w:r>
      <w:hyperlink w:history="1" r:id="rIdsdjxi8jnvdozd9siz1f4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требования граждан Иманалиева К. Б., Богдановой Ю. А. в интересах Айталиева К. У. были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стороны–ответчика Урумкалиева Ч. Ч. и Арзиев М. И., не согласившись с доводами обращающейся стороны, считают, что оспариваемые нормативные положения части 2 статьи 339 Уголовно-процессуального </w:t>
      </w:r>
      <w:hyperlink w:history="1" r:id="rIdk3bo_cnaxgtjrytr883q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соответствуют </w:t>
      </w:r>
      <w:hyperlink w:history="1" r:id="rIdce1rqqszrq1ymssun8bh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оставить ходатайства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40m7kj5m0xko2gamgqqr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нормативные положения части 2 статьи 339 Уголовно-процессуального </w:t>
      </w:r>
      <w:hyperlink w:history="1" r:id="rIdcttiwqzv7fyueqguoevz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выраженные словами «ходатайств участников процесса, избрания, изменения или отмены меры пресечения».</w:t>
      </w:r>
    </w:p>
    <w:p>
      <w:pPr>
        <w:spacing w:after="120"/>
        <w:jc w:val="both"/>
      </w:pPr>
      <w:r>
        <w:rPr>
          <w:rFonts w:ascii="Arial" w:cs="Arial" w:eastAsia="Arial" w:hAnsi="Arial"/>
          <w:sz w:val="24"/>
          <w:szCs w:val="24"/>
        </w:rPr>
        <w:t xml:space="preserve">Уголовно-процессуальный </w:t>
      </w:r>
      <w:hyperlink w:history="1" r:id="rIdz6wyi7ezgdxmzfr_hyge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ymd7i0jf4pk56_svrim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кодекса Кыргызской Республики» от 30 июня 1999 года № 63, опубликован в газете «Эркин-Тоо» от 21 июля 1999 года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По смыслу норм </w:t>
      </w:r>
      <w:hyperlink w:history="1" r:id="rIdzbedzxbdc7vvflvuheot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(статьи 1, 16, 20, 40) в Кыргызской Республике, правовая система которой основана на принципе верховенства права как неотъемлемом элементе правового государства, право каждого на судебную защиту предполагает обеспечение всем субъектам права свободного и равного доступа к правосудию, осуществляемому независимым и беспристрастным судом на основе состязательности и равноправия сторон, а также охрану их прав и законных интересов, в том числе и от судебных ошибок.</w:t>
      </w:r>
    </w:p>
    <w:p>
      <w:pPr>
        <w:spacing w:after="120"/>
        <w:jc w:val="both"/>
      </w:pPr>
      <w:r>
        <w:rPr>
          <w:rFonts w:ascii="Arial" w:cs="Arial" w:eastAsia="Arial" w:hAnsi="Arial"/>
          <w:sz w:val="24"/>
          <w:szCs w:val="24"/>
        </w:rPr>
        <w:t xml:space="preserve">Обязанность государства обеспечить осуществление права на справедливую, компетентную и действенную судебную защиту вытекает также из являющихся составной частью правовой системы Кыргызской Республики Всеобщей </w:t>
      </w:r>
      <w:hyperlink w:history="1" r:id="rId7wz5jzbc08ojm8zqqz5e8">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8) и Международного </w:t>
      </w:r>
      <w:hyperlink w:history="1" r:id="rIdsj9ckn1h_wvsudpxlgr0p">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(статья 2).</w:t>
      </w:r>
    </w:p>
    <w:p>
      <w:pPr>
        <w:spacing w:after="120"/>
        <w:jc w:val="both"/>
      </w:pPr>
      <w:r>
        <w:rPr>
          <w:rFonts w:ascii="Arial" w:cs="Arial" w:eastAsia="Arial" w:hAnsi="Arial"/>
          <w:sz w:val="24"/>
          <w:szCs w:val="24"/>
        </w:rPr>
        <w:t xml:space="preserve">Соответственно, исходя из того, что правосудие по своей сути может признаваться таковым лишь при условии, что оно отвечает требованиям справедливости и обеспечивает эффективное восстановление в правах, законодатель обязан установить механизм, который гарантировал бы вынесение законных, обоснованных и справедливых судебных актов, посредством создания системы судебных инстанций, обеспечивающих порядок обжалования судебных актов.</w:t>
      </w:r>
    </w:p>
    <w:p>
      <w:pPr>
        <w:spacing w:after="120"/>
        <w:jc w:val="both"/>
      </w:pPr>
      <w:r>
        <w:rPr>
          <w:rFonts w:ascii="Arial" w:cs="Arial" w:eastAsia="Arial" w:hAnsi="Arial"/>
          <w:sz w:val="24"/>
          <w:szCs w:val="24"/>
        </w:rPr>
        <w:t xml:space="preserve">В этих целях законодатель предусмотрел в Уголовно-процессуальном </w:t>
      </w:r>
      <w:hyperlink w:history="1" r:id="rId3g4wyqeoowc5bxefwr00z">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процедуры пересмотра судебных решений: в суде апелляционной инстанции, рассматривающей дела по жалобам на судебные акты, не вступившие в законную силу; в судах кассационной и надзорной инстанций, пересматривающие вступившие в законную силу судебные акты.</w:t>
      </w:r>
    </w:p>
    <w:p>
      <w:pPr>
        <w:spacing w:after="120"/>
        <w:jc w:val="both"/>
      </w:pPr>
      <w:r>
        <w:rPr>
          <w:rFonts w:ascii="Arial" w:cs="Arial" w:eastAsia="Arial" w:hAnsi="Arial"/>
          <w:sz w:val="24"/>
          <w:szCs w:val="24"/>
        </w:rPr>
        <w:t xml:space="preserve">3. Осуществляя правосудие, суды совершают многочисленные процессуальные действия и принимают решения, которые различаются по своему содержанию, форме и значению. Исходя из статьи 5 Уголовно-процессуального </w:t>
      </w:r>
      <w:hyperlink w:history="1" r:id="rId0nytpduqxhha43lkqv10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определяющей основные понятия Уголовно-процессуального </w:t>
      </w:r>
      <w:hyperlink w:history="1" r:id="rIdo0ottzrnt96rrmcbcori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процессуальные решения — это акты применения судом уголовно-процессуального права, выносимые в пределах его компетенции, и выраженные в определенной форме (приговора, постановления). Приговор, иное решение суда, вынесенное в ходе судебного разбирательства, которым уголовное дело разрешается по существу, ибо их вынесением завершается  производство по уголовному делу в отношении конкретного лица, являются итоговыми судебными решениями. К их числу, кроме приговора, относятся, в частности, постановления: о прекращении уголовного дела или уголовного преследования; о применении либо об отказе в применении принудительных мер медицинского характера; о прекращении уголовного дела в отношении несовершеннолетнего с применением принудительных мер воспитательного воздействия. Все остальные постановления суда первой инстанции, вынесенные в ходе досудебного производства по уголовному делу или в ходе судебного разбирательства, относятся к неитоговым (промежуточным) актам.</w:t>
      </w:r>
    </w:p>
    <w:p>
      <w:pPr>
        <w:spacing w:after="120"/>
        <w:jc w:val="both"/>
      </w:pPr>
      <w:r>
        <w:rPr>
          <w:rFonts w:ascii="Arial" w:cs="Arial" w:eastAsia="Arial" w:hAnsi="Arial"/>
          <w:sz w:val="24"/>
          <w:szCs w:val="24"/>
        </w:rPr>
        <w:t xml:space="preserve">Вопросы, разрешаемые судом путем вынесения промежуточных актов, регулируются в различных разделах Уголовно-процессуального </w:t>
      </w:r>
      <w:hyperlink w:history="1" r:id="rIdzykosrj7gbh9_taf84zm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они выносятся на различных стадиях уголовного судопроизводства: в ходе досудебного производства по уголовному делу; в ходе судебного разбирательства; при решении вопросов, возникающих в ходе исполнения приговора или иного итогового судебного решения.</w:t>
      </w:r>
    </w:p>
    <w:p>
      <w:pPr>
        <w:spacing w:after="120"/>
        <w:jc w:val="both"/>
      </w:pPr>
      <w:r>
        <w:rPr>
          <w:rFonts w:ascii="Arial" w:cs="Arial" w:eastAsia="Arial" w:hAnsi="Arial"/>
          <w:sz w:val="24"/>
          <w:szCs w:val="24"/>
        </w:rPr>
        <w:t xml:space="preserve">В обжалуемой на предмет конституционности статье 339 Уголовно-процессуального </w:t>
      </w:r>
      <w:hyperlink w:history="1" r:id="rIdg2qyeckond1b7ofbae2e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речь идет об актах суда первой инстанции, выносимых в ходе судебного разбирательства. Каждое постановление, выносимое в ходе судебного разбирательства, имеет собственные: круг разрешаемых им вопросов; процедуру вынесения (в ряде случаев со своими особенностями); порядок закрепления, доведения до сведения участников судебного разбирательства и возможности по обжалованию. Они влияют на движение дела, на возникновение, развитие, окончание процесса, с их помощью суд разрешает вопросы об удовлетворении или отклонении ходатайства, вопросы исследования доказательств, организации судебного разбирательства и т. д. Тем самым, постановления суда первой инстанции, выносимые в ходе судебного разбирательства, отвечают на текущие вопросы, возникающие при осуществлении правосудия, имеют целью создать необходимые условия для реализации участниками процесса их прав и для обеспечения выполнения ими своих процессуальных обязанностей, обеспечивая разрешение уголовного дела по существу и в разумные сроки.</w:t>
      </w:r>
    </w:p>
    <w:p>
      <w:pPr>
        <w:spacing w:after="120"/>
        <w:jc w:val="both"/>
      </w:pPr>
      <w:r>
        <w:rPr>
          <w:rFonts w:ascii="Arial" w:cs="Arial" w:eastAsia="Arial" w:hAnsi="Arial"/>
          <w:sz w:val="24"/>
          <w:szCs w:val="24"/>
        </w:rPr>
        <w:t xml:space="preserve">Постановления суда первой инстанции, выносимые в ходе судебного разбирательства, с позиции законодателя, выраженной в части 1 статьи 339 Уголовно-процессуального </w:t>
      </w:r>
      <w:hyperlink w:history="1" r:id="rIdu0stkpsqxdnhjbwkkufa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могут быть обжалованы участниками процесса в апелляционном порядке до вынесения итогового акта путем принесения частной жалобы или частного представления. Такие акты подлежат самостоятельному обжалованию, так как не находятся в прямой связи с содержанием приговора (не относятся к вопросам о виновности и наказании или применении иных мер уголовно-правового воздействия), а лишь затрагивают отдельные вопросы, возникающие на стадии судебного разбирательства. При этом возможность проверки таких постановлений не может поставить суд первой инстанции при рассмотрении дела в зависимость от мнения вышестоящей судебной инстанции, поскольку разрешаемые в них вопросы не касаются существа уголовного дела и не предрешают выводы суда по рассматриваемому делу. Более того, возможность обжалования таких постановлений не препятствует дальнейшему движению дела.</w:t>
      </w:r>
    </w:p>
    <w:p>
      <w:pPr>
        <w:spacing w:after="120"/>
        <w:jc w:val="both"/>
      </w:pPr>
      <w:r>
        <w:rPr>
          <w:rFonts w:ascii="Arial" w:cs="Arial" w:eastAsia="Arial" w:hAnsi="Arial"/>
          <w:sz w:val="24"/>
          <w:szCs w:val="24"/>
        </w:rPr>
        <w:t xml:space="preserve">Основным предназначением обжалования постановлений суда первой инстанции, выносимых в ходе судебного разбирательства, является необходимость своевременного устранения их ошибочности (незаконности и необоснованности) и оперативное восстановление нарушенных прав, устранение препятствий для рассмотрения уголовного дела в разумные сроки.</w:t>
      </w:r>
    </w:p>
    <w:p>
      <w:pPr>
        <w:spacing w:after="120"/>
        <w:jc w:val="both"/>
      </w:pPr>
      <w:r>
        <w:rPr>
          <w:rFonts w:ascii="Arial" w:cs="Arial" w:eastAsia="Arial" w:hAnsi="Arial"/>
          <w:sz w:val="24"/>
          <w:szCs w:val="24"/>
        </w:rPr>
        <w:t xml:space="preserve">Вместе с тем в части 2 статьи 339 Уголовно-процессуального </w:t>
      </w:r>
      <w:hyperlink w:history="1" r:id="rIdy-8-wiuf0yepfoq9881m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предусмотрены исключения из общего правила об обжаловании в апелляционном порядке постановлений суда первой инстанции, выносимых в ходе судебного разбирательства. Так, заявителями оспаривается конституционность нормативных положений части 2 статьи 339 Уголовно-процессуального </w:t>
      </w:r>
      <w:hyperlink w:history="1" r:id="rIdjqzqvmet3tslyfzwqk_j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устанавливающих, что постановления, вынесенные в ходе судебного разбирательства, касающиеся ходатайств участников процесса, избрания, изменения или отмены меры пресечения, не подлежат обжалованию по правилам главы 38 Уголовно-процессуального </w:t>
      </w:r>
      <w:hyperlink w:history="1" r:id="rIdllb8cdrthetpg5syolh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Следовательно, указанные в части 2 статьи 339 Уголовно-процессуального </w:t>
      </w:r>
      <w:hyperlink w:history="1" r:id="rIdkpo-dlilh0djboaeg9vz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постановления не могут быть обжалованы путем принесения частной жалобы или частного представления.</w:t>
      </w:r>
    </w:p>
    <w:p>
      <w:pPr>
        <w:spacing w:after="120"/>
        <w:jc w:val="both"/>
      </w:pPr>
      <w:r>
        <w:rPr>
          <w:rFonts w:ascii="Arial" w:cs="Arial" w:eastAsia="Arial" w:hAnsi="Arial"/>
          <w:sz w:val="24"/>
          <w:szCs w:val="24"/>
        </w:rPr>
        <w:t xml:space="preserve">В уголовном процессе ходатайство - это просьба участника процесса о выполнении каких-либо процессуальных действий или о принятии каких-либо решений. В частности, в ходе судебного разбирательства могут быть заявлены ходатайства о вызове новых свидетелей, экспертов и специалистов, об истребовании вещественных доказательств и документов, об исключении доказательств, полученных с нарушением требований Уголовно-процессуального </w:t>
      </w:r>
      <w:hyperlink w:history="1" r:id="rIdlu9dy4ihqmlxkuk8izc9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ходатайства о повторном допросе в ходе судебного заседания ранее допрошенных потерпевшего, свидетеля, о назначении и производстве дополнительной, повторной той или иной судебной экспертизы, об оглашении показаний свидетеля, потерпевшего и т. д.</w:t>
      </w:r>
    </w:p>
    <w:p>
      <w:pPr>
        <w:spacing w:after="120"/>
        <w:jc w:val="both"/>
      </w:pPr>
      <w:r>
        <w:rPr>
          <w:rFonts w:ascii="Arial" w:cs="Arial" w:eastAsia="Arial" w:hAnsi="Arial"/>
          <w:sz w:val="24"/>
          <w:szCs w:val="24"/>
        </w:rPr>
        <w:t xml:space="preserve">Институт ходатайств представляет собой разновидность правовых средств защиты своих процессуальных прав и законных интересов лицами, вовлеченными в уголовный процесс. Принесение ходатайства является важной гарантией прав и законных интересов граждан, вовлекаемых в сферу уголовного судопроизводства, полного и объективного исследования обстоятельств дела, вынесения обоснованного и справедливого приговора.</w:t>
      </w:r>
    </w:p>
    <w:p>
      <w:pPr>
        <w:spacing w:after="120"/>
        <w:jc w:val="both"/>
      </w:pPr>
      <w:r>
        <w:rPr>
          <w:rFonts w:ascii="Arial" w:cs="Arial" w:eastAsia="Arial" w:hAnsi="Arial"/>
          <w:sz w:val="24"/>
          <w:szCs w:val="24"/>
        </w:rPr>
        <w:t xml:space="preserve">Таким образом, установленный Уголовно-процессуальным </w:t>
      </w:r>
      <w:hyperlink w:history="1" r:id="rIdh_dwf0idog10crpgj5gd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запрет непосредственного обжалования постановлений суда первой инстанции, вынесенных в ходе судебного разбирательства, касающихся ходатайств участников судебного процесса, до вынесения итогового решения по делу, обусловлен тем, что вопросы, разрешаемые вышеуказанными постановлениями, имеют непосредственное отношение к вынесению итогового акта и связаны с содержанием приговора. В противном случае, возможность обжалования такого рода постановлений в суд вышестоящей инстанции до вынесения итогового акта в суде первой инстанции может привести к контролю со стороны вышестоящих судебных инстанций за ходом рассмотрения дела судом первой инстанции, а, следовательно, к вмешательству в осуществлении им своих дискреционных полномочий, что недопустимо с точки зрения соблюдения конституционного принципа независимости суда (судьи) при отправлении правосудия. Кроме того, возможность такого обжалования может привести к неоправданному затягиванию судебного процесса и, в итоге, нарушению принципа рассмотрения дела в разумный срок.</w:t>
      </w:r>
    </w:p>
    <w:p>
      <w:pPr>
        <w:spacing w:after="120"/>
        <w:jc w:val="both"/>
      </w:pPr>
      <w:r>
        <w:rPr>
          <w:rFonts w:ascii="Arial" w:cs="Arial" w:eastAsia="Arial" w:hAnsi="Arial"/>
          <w:sz w:val="24"/>
          <w:szCs w:val="24"/>
        </w:rPr>
        <w:t xml:space="preserve">Вместе с тем вышеизложенное не означает, что постановления суда первой инстанции, вынесенные в ходе судебного разбирательства, касающиеся ходатайств участников судебного процесса, исключаются из числа объектов судебного контроля со стороны вышестоящей инстанции. Правовая сущность рассматриваемых постановлений, их функциональное предназначение в уголовном судопроизводстве предполагает необходимость их обжалования одновременно с итоговым судебным решением (по правилам главы 39 Уголовно-процессуального </w:t>
      </w:r>
      <w:hyperlink w:history="1" r:id="rId353tayvpwznl0_rupnz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данном случае, проверка законности и обоснованности указанных постановлений переносится на более поздний срок. Такой порядок обжалования, во-первых, обеспечивает конституционное право на судебную защиту, в частности право на обжалование судебных решений в вышестоящую инстанцию, во-вторых, служит гарантией рассмотрения уголовного дела в суде первой инстанции без неоправданной задержки, в-третьих, позволяет не перегружать без надобности суды апелляционной инстанции рассмотрением вопросов, которые могут и должны решаться одновременно с проверкой итоговых судебных решений.</w:t>
      </w:r>
    </w:p>
    <w:p>
      <w:pPr>
        <w:spacing w:after="120"/>
        <w:jc w:val="both"/>
      </w:pPr>
      <w:r>
        <w:rPr>
          <w:rFonts w:ascii="Arial" w:cs="Arial" w:eastAsia="Arial" w:hAnsi="Arial"/>
          <w:sz w:val="24"/>
          <w:szCs w:val="24"/>
        </w:rPr>
        <w:t xml:space="preserve">Кроме того, защита и восстановление прав, нарушенных в ходе судебного разбирательства в суде первой инстанции, связанные с реализацией права на законное и обоснованное разрешение ходатайства, гарантируется возможностью его повторного заявления, в том числе и в суде апелляционной инстанции (статья 123 Уголовно-процессуального </w:t>
      </w:r>
      <w:hyperlink w:history="1" r:id="rIdvwm7muudxbin17uwn3da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 (часть 5 статьи 345 Уголовно-процессуального </w:t>
      </w:r>
      <w:hyperlink w:history="1" r:id="rIdymhsu-z2opmjjz6w6_qm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Вместе с тем установленный законом запрет самостоятельного обжалования постановлений суда первой инстанции, касающихся ходатайств участников процесса, не означает невозможность их обжалования в целом, так как иное понимание оспариваемого нормативного положения приводило бы к нарушению конституционного права на судебную защиту. Следует также отметить, что правовое регулирование порядка обжалования указанных в оспариваемом нормативном положении постановлений суда первой инстанции носит недостаточно ясный характер. Неточность и неясность закона порождают возможность неоднозначного истолкования, а, следовательно, произвольного применения его норм, в связи с чем сложилась противоречивая правоприменительная практика, ослабляющая гарантии государственной защиты прав, свобод и законных интересов граждан.</w:t>
      </w:r>
    </w:p>
    <w:p>
      <w:pPr>
        <w:spacing w:after="120"/>
        <w:jc w:val="both"/>
      </w:pPr>
      <w:r>
        <w:rPr>
          <w:rFonts w:ascii="Arial" w:cs="Arial" w:eastAsia="Arial" w:hAnsi="Arial"/>
          <w:sz w:val="24"/>
          <w:szCs w:val="24"/>
        </w:rPr>
        <w:t xml:space="preserve">В этой связи, законодателю следует четко разграничить промежуточные акты суда, не подлежащие обжалованию, подлежащие обжалованию самостоятельно до вынесения итогового судебного акта, а также подлежащие обжалованию вместе с итоговым судебным актом.</w:t>
      </w:r>
    </w:p>
    <w:p>
      <w:pPr>
        <w:spacing w:after="120"/>
        <w:jc w:val="both"/>
      </w:pPr>
      <w:r>
        <w:rPr>
          <w:rFonts w:ascii="Arial" w:cs="Arial" w:eastAsia="Arial" w:hAnsi="Arial"/>
          <w:sz w:val="24"/>
          <w:szCs w:val="24"/>
        </w:rPr>
        <w:t xml:space="preserve">4. </w:t>
      </w:r>
      <w:hyperlink w:history="1" r:id="rId79kccfiqkmwdyq44mbwp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делегируя законодателю возможность ограничения прав и свобод человека и гражданина, обязует его разработать такой правовой механизм, который обеспечил бы соразмерный баланс интересов между правом каждого на свободу и личную неприкосновенность и обязанностью государства обеспечить посредством правосудия защиту общезначимых конституционных ценностей (статья 20). Так, уголовно-процессуальным законодательством предусмотрены специальные меры принуждения, применяемые государством к обвиняемому и подсудимому для предотвращения его ненадлежащего поведения в ходе производства следствия и судебного разбирательства, которые именуются мерами пресечения (статья 101 Уголовно-процессуального </w:t>
      </w:r>
      <w:hyperlink w:history="1" r:id="rIdbwx8imo66baozjjjdwk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избрании, изменении, отмене меры пресечения следователь, прокурор, суд в каждом случае должны обосновать основания и необходимость их избрания, изменения, отмены или продления (статьи 6, 102, 103 Уголовного-процессуального </w:t>
      </w:r>
      <w:hyperlink w:history="1" r:id="rIdhau_oqyto7x2nihofelz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этом, Уголовно-процессуальный </w:t>
      </w:r>
      <w:hyperlink w:history="1" r:id="rIdvnw6tp0bgx6opapaizaj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закрепил принцип обжалования действий и решений органа дознания, следователя, прокурора и суда, а также порядок пересмотра судебных решений (статьи 25, 126, главы 39, 41-1, 42). Предоставление такого права обусловлено необходимостью обеспечения прав и законных интересов участников уголовного судопроизводства и направлено на устранение возможных нарушений и ошибок, допущенных в процессе производства по уголовному делу.</w:t>
      </w:r>
    </w:p>
    <w:p>
      <w:pPr>
        <w:spacing w:after="120"/>
        <w:jc w:val="both"/>
      </w:pPr>
      <w:r>
        <w:rPr>
          <w:rFonts w:ascii="Arial" w:cs="Arial" w:eastAsia="Arial" w:hAnsi="Arial"/>
          <w:sz w:val="24"/>
          <w:szCs w:val="24"/>
        </w:rPr>
        <w:t xml:space="preserve">Однако несовершенство правовых процедур обжалования постановления суда об избрании, изменении и отмены меры пресечения в кассационном и надзорном порядках привело к различной правоприменительной практике, когда в одних случаях жалобы на такие постановления рассматриваются, а в других случаях остаются без рассмотрения.</w:t>
      </w:r>
    </w:p>
    <w:p>
      <w:pPr>
        <w:spacing w:after="120"/>
        <w:jc w:val="both"/>
      </w:pPr>
      <w:r>
        <w:rPr>
          <w:rFonts w:ascii="Arial" w:cs="Arial" w:eastAsia="Arial" w:hAnsi="Arial"/>
          <w:sz w:val="24"/>
          <w:szCs w:val="24"/>
        </w:rPr>
        <w:t xml:space="preserve">В связи с чем, Конституционная палата отмечает, что законодателю необходимо принять своевременные меры по созданию надлежащих процессуальных механизмов, которые позволяли бы гражданам, чьи права и свободы оказались нарушенными, добиваться их реальной защиты, используя все не запрещенные законом способы. При этом законодателю необходимо принять во внимание международные нормы, которые являются частью правовой системы Кыргызской Республики. В частности, Международный пакт о гражданских и политических правах человека устанавливает безотлагательность вынесения судом постановления относительно законности каждого, кто лишен свободы вследствие ареста или содержания под стражей (часть 4 статьи 9). В противном случае конституционные ценности, предусмотренные статьями 6, 24 </w:t>
      </w:r>
      <w:hyperlink w:history="1" r:id="rId6u0tctkjbcfkb0lytp92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рамках уголовно-процессуального законодательства, остаются не реализованными в должной мере.</w:t>
      </w:r>
    </w:p>
    <w:p>
      <w:pPr>
        <w:spacing w:after="120"/>
        <w:jc w:val="both"/>
      </w:pPr>
      <w:r>
        <w:rPr>
          <w:rFonts w:ascii="Arial" w:cs="Arial" w:eastAsia="Arial" w:hAnsi="Arial"/>
          <w:sz w:val="24"/>
          <w:szCs w:val="24"/>
        </w:rPr>
        <w:t xml:space="preserve">Таким образом, нормативные положения части 2 статьи 339 Уголовно-процессуального </w:t>
      </w:r>
      <w:hyperlink w:history="1" r:id="rIdqmvygk_0phjn7tulhgxl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регламентирующие запрет на обжалование в апелляционном порядке вынесенных в ходе судебного разбирательства постановлений суда первой инстанции, касающихся избрания, изменения или отмены меры пресечения, не означают, что они не могут быть обжалованы в порядке, предусмотренном главами 41-1, 42 Уголовно-процессуального </w:t>
      </w:r>
      <w:hyperlink w:history="1" r:id="rIdb60uf3uo1jvdlynctq2h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соответственно, не противоречат пунктам 3, 8 части 5 статьи 20, частям 1, 3 статьи 24, части 1 статьи 25, части 1 статьи 40 </w:t>
      </w:r>
      <w:hyperlink w:history="1" r:id="rIdudqdebia7o6ne7c1qqry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kznjl_gdc21paw7zpgqz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52 </w:t>
      </w:r>
      <w:hyperlink w:history="1" r:id="rIdqzzopusfmkqunfta9dod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нормативные положения части 2 статьи 339 Уголовно-процессуального </w:t>
      </w:r>
      <w:hyperlink w:history="1" r:id="rIdkkvvrse8uczvfvu4vtrz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предусматривающие запрет на обжалование постановления суда первой инстанции, касающиеся ходатайств участников процесса, избрания, изменения или отмены меры пресечения, не противоречащими пунктам 3, 8 части 5 статьи 20, частям 1, 3 статьи 24, части 1 статьи 25, части 1 статьи 40 </w:t>
      </w:r>
      <w:hyperlink w:history="1" r:id="rIdxx1mpbdpf-ul9chyhitn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Уголовно-процессуальный </w:t>
      </w:r>
      <w:hyperlink w:history="1" r:id="rIdzlz_8rd2-vl2cpxrwedt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clkq3binifsztdaraij">
      <w:r>
        <w:rPr>
          <w:rFonts w:ascii="Arial" w:cs="Arial" w:eastAsia="Arial" w:hAnsi="Arial"/>
          <w:color w:val="132D3F"/>
          <w:sz w:val="16"/>
          <w:szCs w:val="16"/>
          <w:u w:val="single"/>
        </w:rPr>
        <w:t xml:space="preserve">dalil.kg/document/9637</w:t>
      </w:r>
    </w:hyperlink>
  </w:p>
  <w:p>
    <w:pPr>
      <w:spacing w:after="0" w:before="40"/>
      <w:jc w:val="center"/>
    </w:pPr>
    <w:hyperlink w:history="1" r:id="rId7kfn-0dqsgnuo_go31i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ez984r7mwqkwoc2or6_k" Type="http://schemas.openxmlformats.org/officeDocument/2006/relationships/hyperlink" Target="https://dalil.kg/document/202913" TargetMode="External"/><Relationship Id="rIddiv2s0ujye1smwqxdgcvi" Type="http://schemas.openxmlformats.org/officeDocument/2006/relationships/hyperlink" Target="https://dalil.kg/document/203281" TargetMode="External"/><Relationship Id="rIdraw35wdxp5wpbvbj49wks" Type="http://schemas.openxmlformats.org/officeDocument/2006/relationships/hyperlink" Target="https://dalil.kg/document/9" TargetMode="External"/><Relationship Id="rIdffvyyqd7c0y65rtfky0mf" Type="http://schemas.openxmlformats.org/officeDocument/2006/relationships/hyperlink" Target="https://dalil.kg/document/202913" TargetMode="External"/><Relationship Id="rIdl0qmyxrqp8-_dv9p55byd" Type="http://schemas.openxmlformats.org/officeDocument/2006/relationships/hyperlink" Target="https://dalil.kg/document/202913" TargetMode="External"/><Relationship Id="rIdlv4m0_ga4a_emkujrzr_-" Type="http://schemas.openxmlformats.org/officeDocument/2006/relationships/hyperlink" Target="https://dalil.kg/document/9" TargetMode="External"/><Relationship Id="rIdh0cefma4jyqwrgr17vmp-" Type="http://schemas.openxmlformats.org/officeDocument/2006/relationships/hyperlink" Target="https://dalil.kg/document/9" TargetMode="External"/><Relationship Id="rId9op0bffnz7p3a_8y6t_u0" Type="http://schemas.openxmlformats.org/officeDocument/2006/relationships/hyperlink" Target="https://dalil.kg/document/202913" TargetMode="External"/><Relationship Id="rIdk9x-4u75gnpzt0fnvum3e" Type="http://schemas.openxmlformats.org/officeDocument/2006/relationships/hyperlink" Target="https://dalil.kg/document/9" TargetMode="External"/><Relationship Id="rIdxg7nvuu_noo8bsmeo7ldg" Type="http://schemas.openxmlformats.org/officeDocument/2006/relationships/hyperlink" Target="https://dalil.kg/document/9" TargetMode="External"/><Relationship Id="rIdkv3pql6j4coulyk2nsqzw" Type="http://schemas.openxmlformats.org/officeDocument/2006/relationships/hyperlink" Target="https://dalil.kg/document/9" TargetMode="External"/><Relationship Id="rIdyy-0qggw1n5lh0a53gx7j" Type="http://schemas.openxmlformats.org/officeDocument/2006/relationships/hyperlink" Target="https://dalil.kg/document/202913" TargetMode="External"/><Relationship Id="rIdmoxfs7ogpunr-76rkj6ip" Type="http://schemas.openxmlformats.org/officeDocument/2006/relationships/hyperlink" Target="https://dalil.kg/document/9" TargetMode="External"/><Relationship Id="rId4smlbziy594yf9w6mawhp" Type="http://schemas.openxmlformats.org/officeDocument/2006/relationships/hyperlink" Target="https://dalil.kg/document/9" TargetMode="External"/><Relationship Id="rIdsdjxi8jnvdozd9siz1f4e" Type="http://schemas.openxmlformats.org/officeDocument/2006/relationships/hyperlink" Target="https://dalil.kg/document/203281" TargetMode="External"/><Relationship Id="rIdk3bo_cnaxgtjrytr883q6" Type="http://schemas.openxmlformats.org/officeDocument/2006/relationships/hyperlink" Target="https://dalil.kg/document/9" TargetMode="External"/><Relationship Id="rIdce1rqqszrq1ymssun8bhw" Type="http://schemas.openxmlformats.org/officeDocument/2006/relationships/hyperlink" Target="https://dalil.kg/document/202913" TargetMode="External"/><Relationship Id="rId40m7kj5m0xko2gamgqqro" Type="http://schemas.openxmlformats.org/officeDocument/2006/relationships/hyperlink" Target="https://dalil.kg/document/203281" TargetMode="External"/><Relationship Id="rIdcttiwqzv7fyueqguoevzj" Type="http://schemas.openxmlformats.org/officeDocument/2006/relationships/hyperlink" Target="https://dalil.kg/document/9" TargetMode="External"/><Relationship Id="rIdz6wyi7ezgdxmzfr_hyges" Type="http://schemas.openxmlformats.org/officeDocument/2006/relationships/hyperlink" Target="https://dalil.kg/document/9" TargetMode="External"/><Relationship Id="rIdymd7i0jf4pk56_svrimsj" Type="http://schemas.openxmlformats.org/officeDocument/2006/relationships/hyperlink" Target="https://dalil.kg/document/227" TargetMode="External"/><Relationship Id="rIdzbedzxbdc7vvflvuheotx" Type="http://schemas.openxmlformats.org/officeDocument/2006/relationships/hyperlink" Target="https://dalil.kg/document/202913" TargetMode="External"/><Relationship Id="rId7wz5jzbc08ojm8zqqz5e8" Type="http://schemas.openxmlformats.org/officeDocument/2006/relationships/hyperlink" Target="https://dalil.kg/document/17534" TargetMode="External"/><Relationship Id="rIdsj9ckn1h_wvsudpxlgr0p" Type="http://schemas.openxmlformats.org/officeDocument/2006/relationships/hyperlink" Target="https://dalil.kg/document/17581" TargetMode="External"/><Relationship Id="rId3g4wyqeoowc5bxefwr00z" Type="http://schemas.openxmlformats.org/officeDocument/2006/relationships/hyperlink" Target="https://dalil.kg/document/9" TargetMode="External"/><Relationship Id="rId0nytpduqxhha43lkqv107" Type="http://schemas.openxmlformats.org/officeDocument/2006/relationships/hyperlink" Target="https://dalil.kg/document/9" TargetMode="External"/><Relationship Id="rIdo0ottzrnt96rrmcbcorir" Type="http://schemas.openxmlformats.org/officeDocument/2006/relationships/hyperlink" Target="https://dalil.kg/document/9" TargetMode="External"/><Relationship Id="rIdzykosrj7gbh9_taf84zmo" Type="http://schemas.openxmlformats.org/officeDocument/2006/relationships/hyperlink" Target="https://dalil.kg/document/9" TargetMode="External"/><Relationship Id="rIdg2qyeckond1b7ofbae2ej" Type="http://schemas.openxmlformats.org/officeDocument/2006/relationships/hyperlink" Target="https://dalil.kg/document/9" TargetMode="External"/><Relationship Id="rIdu0stkpsqxdnhjbwkkufa6" Type="http://schemas.openxmlformats.org/officeDocument/2006/relationships/hyperlink" Target="https://dalil.kg/document/9" TargetMode="External"/><Relationship Id="rIdy-8-wiuf0yepfoq9881ma" Type="http://schemas.openxmlformats.org/officeDocument/2006/relationships/hyperlink" Target="https://dalil.kg/document/9" TargetMode="External"/><Relationship Id="rIdjqzqvmet3tslyfzwqk_j4" Type="http://schemas.openxmlformats.org/officeDocument/2006/relationships/hyperlink" Target="https://dalil.kg/document/9" TargetMode="External"/><Relationship Id="rIdllb8cdrthetpg5syolh4-" Type="http://schemas.openxmlformats.org/officeDocument/2006/relationships/hyperlink" Target="https://dalil.kg/document/9" TargetMode="External"/><Relationship Id="rIdkpo-dlilh0djboaeg9vzz" Type="http://schemas.openxmlformats.org/officeDocument/2006/relationships/hyperlink" Target="https://dalil.kg/document/9" TargetMode="External"/><Relationship Id="rIdlu9dy4ihqmlxkuk8izc9t" Type="http://schemas.openxmlformats.org/officeDocument/2006/relationships/hyperlink" Target="https://dalil.kg/document/9" TargetMode="External"/><Relationship Id="rIdh_dwf0idog10crpgj5gd9" Type="http://schemas.openxmlformats.org/officeDocument/2006/relationships/hyperlink" Target="https://dalil.kg/document/9" TargetMode="External"/><Relationship Id="rId353tayvpwznl0_rupnztc" Type="http://schemas.openxmlformats.org/officeDocument/2006/relationships/hyperlink" Target="https://dalil.kg/document/9" TargetMode="External"/><Relationship Id="rIdvwm7muudxbin17uwn3day" Type="http://schemas.openxmlformats.org/officeDocument/2006/relationships/hyperlink" Target="https://dalil.kg/document/9" TargetMode="External"/><Relationship Id="rIdymhsu-z2opmjjz6w6_qmq" Type="http://schemas.openxmlformats.org/officeDocument/2006/relationships/hyperlink" Target="https://dalil.kg/document/9" TargetMode="External"/><Relationship Id="rId79kccfiqkmwdyq44mbwph" Type="http://schemas.openxmlformats.org/officeDocument/2006/relationships/hyperlink" Target="https://dalil.kg/document/202913" TargetMode="External"/><Relationship Id="rIdbwx8imo66baozjjjdwktz" Type="http://schemas.openxmlformats.org/officeDocument/2006/relationships/hyperlink" Target="https://dalil.kg/document/9" TargetMode="External"/><Relationship Id="rIdhau_oqyto7x2nihofelzn" Type="http://schemas.openxmlformats.org/officeDocument/2006/relationships/hyperlink" Target="https://dalil.kg/document/9" TargetMode="External"/><Relationship Id="rIdvnw6tp0bgx6opapaizajz" Type="http://schemas.openxmlformats.org/officeDocument/2006/relationships/hyperlink" Target="https://dalil.kg/document/9" TargetMode="External"/><Relationship Id="rId6u0tctkjbcfkb0lytp92b" Type="http://schemas.openxmlformats.org/officeDocument/2006/relationships/hyperlink" Target="https://dalil.kg/document/202913" TargetMode="External"/><Relationship Id="rIdqmvygk_0phjn7tulhgxld" Type="http://schemas.openxmlformats.org/officeDocument/2006/relationships/hyperlink" Target="https://dalil.kg/document/9" TargetMode="External"/><Relationship Id="rIdb60uf3uo1jvdlynctq2hv" Type="http://schemas.openxmlformats.org/officeDocument/2006/relationships/hyperlink" Target="https://dalil.kg/document/9" TargetMode="External"/><Relationship Id="rIdudqdebia7o6ne7c1qqry6" Type="http://schemas.openxmlformats.org/officeDocument/2006/relationships/hyperlink" Target="https://dalil.kg/document/202913" TargetMode="External"/><Relationship Id="rIdkznjl_gdc21paw7zpgqzo" Type="http://schemas.openxmlformats.org/officeDocument/2006/relationships/hyperlink" Target="https://dalil.kg/document/202913" TargetMode="External"/><Relationship Id="rIdqzzopusfmkqunfta9dod6" Type="http://schemas.openxmlformats.org/officeDocument/2006/relationships/hyperlink" Target="https://dalil.kg/document/203281" TargetMode="External"/><Relationship Id="rIdkkvvrse8uczvfvu4vtrzn" Type="http://schemas.openxmlformats.org/officeDocument/2006/relationships/hyperlink" Target="https://dalil.kg/document/9" TargetMode="External"/><Relationship Id="rIdxx1mpbdpf-ul9chyhitne" Type="http://schemas.openxmlformats.org/officeDocument/2006/relationships/hyperlink" Target="https://dalil.kg/document/202913" TargetMode="External"/><Relationship Id="rIdzlz_8rd2-vl2cpxrwedtc"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clkq3binifsztdaraij" Type="http://schemas.openxmlformats.org/officeDocument/2006/relationships/hyperlink" Target="https://dalil.kg/document/9637" TargetMode="External"/><Relationship Id="rId7kfn-0dqsgnuo_go31i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2026-09-23T19:49:33.138Z</dcterms:created>
  <dcterms:modified xsi:type="dcterms:W3CDTF">2026-09-23T19:49:33.138Z</dcterms:modified>
</cp:coreProperties>
</file>

<file path=docProps/custom.xml><?xml version="1.0" encoding="utf-8"?>
<Properties xmlns="http://schemas.openxmlformats.org/officeDocument/2006/custom-properties" xmlns:vt="http://schemas.openxmlformats.org/officeDocument/2006/docPropsVTypes"/>
</file>