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статьи 321 Уголовного кодекса Кыргызской Республики в связи с обращением гражданина Азимова Адилета Талантбековича</w:t>
      </w:r>
    </w:p>
    <w:p>
      <w:pPr>
        <w:spacing w:after="120"/>
        <w:jc w:val="both"/>
      </w:pPr>
      <w:r>
        <w:rPr>
          <w:rFonts w:ascii="Arial" w:cs="Arial" w:eastAsia="Arial" w:hAnsi="Arial"/>
          <w:sz w:val="24"/>
          <w:szCs w:val="24"/>
        </w:rPr>
        <w:t xml:space="preserve">29 декабря 2014 года № 63-р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 Ш., судей Айдарбековой Ч. А., Бобукеевой М. Р., Мамырова Э. Т., Нарынбековой А. О., Осконбаева Э. Ж., Осмоновой Ч. О., Сооронкуловой К. С., при секретаре Илиязовой Н. А., с участием:</w:t>
      </w:r>
    </w:p>
    <w:p>
      <w:pPr>
        <w:spacing w:after="120"/>
        <w:jc w:val="both"/>
      </w:pPr>
      <w:r>
        <w:rPr>
          <w:rFonts w:ascii="Arial" w:cs="Arial" w:eastAsia="Arial" w:hAnsi="Arial"/>
          <w:sz w:val="24"/>
          <w:szCs w:val="24"/>
        </w:rPr>
        <w:t xml:space="preserve">- обращающейся стороны - гражданина Азимова А.Т.;</w:t>
      </w:r>
    </w:p>
    <w:p>
      <w:pPr>
        <w:spacing w:after="120"/>
        <w:jc w:val="both"/>
      </w:pPr>
      <w:r>
        <w:rPr>
          <w:rFonts w:ascii="Arial" w:cs="Arial" w:eastAsia="Arial" w:hAnsi="Arial"/>
          <w:sz w:val="24"/>
          <w:szCs w:val="24"/>
        </w:rPr>
        <w:t xml:space="preserve">- стороны-ответчика – Ырысбекова Т. 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Бокошевой Ж. С., представителя Верховного суда Кыргызской Республики по доверенности, Шукурбекова А. Ш.,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q045q771nakjq5abhn16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w:t>
      </w:r>
      <w:hyperlink w:history="1" r:id="rIdlc6rje08o2_trmf4rtpy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321 Уголовного </w:t>
      </w:r>
      <w:hyperlink w:history="1" r:id="rIdjprok68k8emxizi4wlx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Азимова А. 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321 Уголовного </w:t>
      </w:r>
      <w:hyperlink w:history="1" r:id="rIdjpjsh2bc16jv8chpnmfr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уголовную ответственность за неуважение к суду, выражающееся в оскорблении судьи, заседателя и иных участников судебного разбирательства.</w:t>
      </w:r>
    </w:p>
    <w:p>
      <w:pPr>
        <w:spacing w:after="120"/>
        <w:jc w:val="both"/>
      </w:pPr>
      <w:r>
        <w:rPr>
          <w:rFonts w:ascii="Arial" w:cs="Arial" w:eastAsia="Arial" w:hAnsi="Arial"/>
          <w:sz w:val="24"/>
          <w:szCs w:val="24"/>
        </w:rPr>
        <w:t xml:space="preserve">Заслушав выступление судьи-докладчика Айдарбековой Ч. 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мая 2014 года поступило ходатайство гражданина Азимова А. Т. о признании статьи 321 Уголовного </w:t>
      </w:r>
      <w:hyperlink w:history="1" r:id="rId50laturmm-f7kjchw9py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5 статьи 20, статье 31, части 5 статьи 33, частям 1, 2 статьи 40 </w:t>
      </w:r>
      <w:hyperlink w:history="1" r:id="rIdav8owzunbkjdvy90qp3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статья 321 Уголовного </w:t>
      </w:r>
      <w:hyperlink w:history="1" r:id="rIduxkw_glbabiafaest5ne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относится к преступлениям против правосудия. Непосредственным объектом данного преступления являются общественные отношения, обеспечивающие нормальную и законную деятельность судебных органов в процессе реализации их задач, а также честь и достоинство участников судебного разбирательства и лиц, участвующих в отправлении правосудия. Как считает заявитель, неуважение к суду выражается в оскорблении судьи или заседателя либо участников судебного разбирательства, честь и достоинство которых являются дополнительными объектами посягательства. Оспариваемая статья является дублирующей нормой статьи 128 Уголовного </w:t>
      </w:r>
      <w:hyperlink w:history="1" r:id="rIdembu_khloi7kdy-1jhl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«Оскорбление» и различается исключительно указанием места, времени совершения преступления и субъектов.</w:t>
      </w:r>
    </w:p>
    <w:p>
      <w:pPr>
        <w:spacing w:after="120"/>
        <w:jc w:val="both"/>
      </w:pPr>
      <w:r>
        <w:rPr>
          <w:rFonts w:ascii="Arial" w:cs="Arial" w:eastAsia="Arial" w:hAnsi="Arial"/>
          <w:sz w:val="24"/>
          <w:szCs w:val="24"/>
        </w:rPr>
        <w:t xml:space="preserve">Заявитель полагает, что механизм защиты чести и достоинства участников судебного разбирательства имеет место в административном законодательстве, а статья 321 Уголовного </w:t>
      </w:r>
      <w:hyperlink w:history="1" r:id="rIdkfrqtxrxeaekx3stmtzk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имеет дублирующий характер, не соответствующий конституционным гарантиям, обеспечивающим право на свободу слова. Кроме того, по мнению заявителя, Конституционная палата, признав неконституционной статью 128 Уголовного </w:t>
      </w:r>
      <w:hyperlink w:history="1" r:id="rIdale75m1ob7jmxz8tczo6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декриминализовала деяние «оскорбление», предусмотрев в своем решении необходимость разрешения таких вопросов в гражданском и административном порядке. В этой связи заявитель просит признать статью 321 Уголовного </w:t>
      </w:r>
      <w:hyperlink w:history="1" r:id="rIdkviazqrpzww8a3cderu-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неконституционной и противоречащей части 5 статьи 20, статье 31, части 5 статьи 33, частям 1, 2 статьи 40 </w:t>
      </w:r>
      <w:hyperlink w:history="1" r:id="rId-hwbk1ghywqm6xy1bugh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8 июля 2014 года ходатайство заявителя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Ырысбеков Т. Ы. не согласился с доводами обращающейся стороны и считает, что оспариваемая норма закона не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r4ksdjri0cnleglytimg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статья 321 Уголовного </w:t>
      </w:r>
      <w:hyperlink w:history="1" r:id="rIdovibck0bgm3obgilbr5p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321 «Неуважение к суду» гласит:</w:t>
      </w:r>
    </w:p>
    <w:p>
      <w:pPr>
        <w:spacing w:after="120"/>
        <w:jc w:val="both"/>
      </w:pPr>
      <w:r>
        <w:rPr>
          <w:rFonts w:ascii="Arial" w:cs="Arial" w:eastAsia="Arial" w:hAnsi="Arial"/>
          <w:sz w:val="24"/>
          <w:szCs w:val="24"/>
        </w:rPr>
        <w:t xml:space="preserve">«(1) Неуважение к суду, выразившееся в оскорблении участников судебного разбирательства,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выразившееся в оскорблении судьи или заседателя, участвующего в отправлении правосудия,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исправительными работами на срок до двух лет».</w:t>
      </w:r>
    </w:p>
    <w:p>
      <w:pPr>
        <w:spacing w:after="120"/>
        <w:jc w:val="both"/>
      </w:pPr>
      <w:r>
        <w:rPr>
          <w:rFonts w:ascii="Arial" w:cs="Arial" w:eastAsia="Arial" w:hAnsi="Arial"/>
          <w:sz w:val="24"/>
          <w:szCs w:val="24"/>
        </w:rPr>
        <w:t xml:space="preserve">Уголовный </w:t>
      </w:r>
      <w:hyperlink w:history="1" r:id="rIdeuvesxsespcui9ambj3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октября 1997 года № 68, введен в действие </w:t>
      </w:r>
      <w:hyperlink w:history="1" r:id="rIdribzvvgmamdwvuinkjr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от 1 октября 1997 года № 69, опубликован в «Ведомостях Жогорку Кенеша Кыргызской Республики» № 7, 1998 года,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683rg0rbhrsznzvdr4ss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выражения своего мнения, свободу слова и печати, при этом не подлежит никакому ограничению право на свободу мысли и мнения. Никто не может быть подвергнут уголовному преследованию за распространение информации, порочащей или унижающей честь и достоинство личности. Каждому гарантируется судебная защита его прав и свобод, предусмотренных Конституцией Кыргызской Республики, законами, международными договорами, участницей которых является Кыргызская Республика, общепризнанными принципами и нормами международного права (статья 31, пункт 4 части 5 статьи 20, часть 5 статьи 33, часть 1 статьи 40).</w:t>
      </w:r>
    </w:p>
    <w:p>
      <w:pPr>
        <w:spacing w:after="120"/>
        <w:jc w:val="both"/>
      </w:pPr>
      <w:r>
        <w:rPr>
          <w:rFonts w:ascii="Arial" w:cs="Arial" w:eastAsia="Arial" w:hAnsi="Arial"/>
          <w:sz w:val="24"/>
          <w:szCs w:val="24"/>
        </w:rPr>
        <w:t xml:space="preserve">Право на свободу выражения своего мнения, свободу слова и печати </w:t>
      </w:r>
      <w:hyperlink w:history="1" r:id="rId2fcsy2iawt5v61amp2xi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рассматривает как единое и неразрывное право свободно мыслить и свободно выражать свои мысли словами, не опасаясь преследования за это со стороны государства.</w:t>
      </w:r>
    </w:p>
    <w:p>
      <w:pPr>
        <w:spacing w:after="120"/>
        <w:jc w:val="both"/>
      </w:pPr>
      <w:r>
        <w:rPr>
          <w:rFonts w:ascii="Arial" w:cs="Arial" w:eastAsia="Arial" w:hAnsi="Arial"/>
          <w:sz w:val="24"/>
          <w:szCs w:val="24"/>
        </w:rPr>
        <w:t xml:space="preserve">Вместе с тем каждый человек, пользуясь гарантированными </w:t>
      </w:r>
      <w:hyperlink w:history="1" r:id="rIdkiv6wq2msuwxe5qmzqzq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правами и свободами, должен отказаться от действий, ущемляющих или умаляющих права и свободы других людей. В соответствии с этим каждый человек имеет право требовать от физических и юридических лиц воздержаться от действий, порочащих их честь и достоинство, что предполагает ответственность личности при реализации прав и свобод, гарантированных </w:t>
      </w:r>
      <w:hyperlink w:history="1" r:id="rIdwbl9z8sg5k0tub9se1xb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Такой подход согласуется с положениями Международного </w:t>
      </w:r>
      <w:hyperlink w:history="1" r:id="rIdvg1mzp-zu2dpn8gkg8u2s">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согласно которым каждый человек имеет право свободно искать, получать и распространять всякого рода информацию и идеи устно, письменно или посредством печати, или художественных форм выражения или иными способами по своему выбору. Пользование этими правами налагает особые обязанности и особую ответственность, и может быть сопряжено с некоторыми ограничениями, которые должны быть установлены законом и являться необходимыми для охраны государственной безопасности, общественного порядка, здоровья или нравственности населения, для уважения прав и репутации других лиц (пункты 2, 3 статьи 19).</w:t>
      </w:r>
    </w:p>
    <w:p>
      <w:pPr>
        <w:spacing w:after="120"/>
        <w:jc w:val="both"/>
      </w:pPr>
      <w:r>
        <w:rPr>
          <w:rFonts w:ascii="Arial" w:cs="Arial" w:eastAsia="Arial" w:hAnsi="Arial"/>
          <w:sz w:val="24"/>
          <w:szCs w:val="24"/>
        </w:rPr>
        <w:t xml:space="preserve">Следовательно, реализация права на свободу выражения своего мнения, свободу слова и печати не может быть нарушена, это право реализуется ответственно и в той мере, в какой не нарушает права и свободы других лиц, установленных </w:t>
      </w:r>
      <w:hyperlink w:history="1" r:id="rIdzwao0aybfucl2whdb6gx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4 статьи 31 </w:t>
      </w:r>
      <w:hyperlink w:history="1" r:id="rIdrvr6etlj2n_xtaxyk7ue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законами Кыргызской Республики. Такое положение имеет важное значение для поддержания баланса конституционных ценностей прав и свобод личности и ответственности в правовом государстве.</w:t>
      </w:r>
    </w:p>
    <w:p>
      <w:pPr>
        <w:spacing w:after="120"/>
        <w:jc w:val="both"/>
      </w:pPr>
      <w:r>
        <w:rPr>
          <w:rFonts w:ascii="Arial" w:cs="Arial" w:eastAsia="Arial" w:hAnsi="Arial"/>
          <w:sz w:val="24"/>
          <w:szCs w:val="24"/>
        </w:rPr>
        <w:t xml:space="preserve">3. </w:t>
      </w:r>
      <w:hyperlink w:history="1" r:id="rIdkjdxwe7m3ftjfvgth_bj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определила судебную власть как самостоятельный вид государственной власти по осуществлению правосудия (статья 93). Правосудие представляет собой вид деятельности, которому присущи особые процедуры разрешения правовых конфликтов в порядке конституционного, гражданского, уголовного, административного и иных форм судопроизводства. Органы правосудия занимают особое положение в системе государственного механизма и действуют самостоятельно и независимо от иных органов государственной власти.</w:t>
      </w:r>
    </w:p>
    <w:p>
      <w:pPr>
        <w:spacing w:after="120"/>
        <w:jc w:val="both"/>
      </w:pPr>
      <w:r>
        <w:rPr>
          <w:rFonts w:ascii="Arial" w:cs="Arial" w:eastAsia="Arial" w:hAnsi="Arial"/>
          <w:sz w:val="24"/>
          <w:szCs w:val="24"/>
        </w:rPr>
        <w:t xml:space="preserve">Органы правосудия играют важную роль в осуществлении функций охраны и укрепления законности. Именно суду государство доверяет право использовать принудительные полномочия государственной власти. Суд является единственным органом власти, уполномоченным в установленном законом порядке, признать лицо виновным в совершении преступления, административного правонарушения, применить к нему меру уголовного наказания или административного воздействия либо разрешить правовой спор между гражданами, между юридическими и физическими лицами.</w:t>
      </w:r>
    </w:p>
    <w:p>
      <w:pPr>
        <w:spacing w:after="120"/>
        <w:jc w:val="both"/>
      </w:pPr>
      <w:r>
        <w:rPr>
          <w:rFonts w:ascii="Arial" w:cs="Arial" w:eastAsia="Arial" w:hAnsi="Arial"/>
          <w:sz w:val="24"/>
          <w:szCs w:val="24"/>
        </w:rPr>
        <w:t xml:space="preserve">Необходимость правовой охраны общественных отношений в сфере осуществления правосудия вызвана ролью суда в системе государственной власти. Правовая защищенность судебной власти является одним из обязательных элементов ее укрепления и повышения ее авторитета. С этой целью в Уголовном кодексе Кыргызской Республики предусмотрена специальная глава «Преступления против правосудия», содержащая ряд составов преступлений против правосудия. Как правило, это умышленные общественные опасные деяния, направленные против государственной власти и посягающие на установленную законом деятельность судов и органов, обеспечивающих эту деятельность, способствующих решению задач и достижению целей правосудия.</w:t>
      </w:r>
    </w:p>
    <w:p>
      <w:pPr>
        <w:spacing w:after="120"/>
        <w:jc w:val="both"/>
      </w:pPr>
      <w:r>
        <w:rPr>
          <w:rFonts w:ascii="Arial" w:cs="Arial" w:eastAsia="Arial" w:hAnsi="Arial"/>
          <w:sz w:val="24"/>
          <w:szCs w:val="24"/>
        </w:rPr>
        <w:t xml:space="preserve">Диспозиция оспариваемой нормы Уголовного </w:t>
      </w:r>
      <w:hyperlink w:history="1" r:id="rIdcsoo-z-qob1gq33sfpo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неуважение к суду в виде оскорбления участников судебного разбирательства, а также судьи или заседателя, участвующего в отправлении правосудия.</w:t>
      </w:r>
    </w:p>
    <w:p>
      <w:pPr>
        <w:spacing w:after="120"/>
        <w:jc w:val="both"/>
      </w:pPr>
      <w:r>
        <w:rPr>
          <w:rFonts w:ascii="Arial" w:cs="Arial" w:eastAsia="Arial" w:hAnsi="Arial"/>
          <w:sz w:val="24"/>
          <w:szCs w:val="24"/>
        </w:rPr>
        <w:t xml:space="preserve">Общественная опасность этого преступления состоит в том, что оно нарушает нормальную деятельность суда, создавая в зале судебного заседания обстановку нервозности, которая влияет на всестороннее, полное и объективное исследование обстоятельств, имеющих значение для правильного разрешения дела, негативно сказывается на реализации участниками процесса их процессуальных прав и подрывает авторитет суда.</w:t>
      </w:r>
    </w:p>
    <w:p>
      <w:pPr>
        <w:spacing w:after="120"/>
        <w:jc w:val="both"/>
      </w:pPr>
      <w:r>
        <w:rPr>
          <w:rFonts w:ascii="Arial" w:cs="Arial" w:eastAsia="Arial" w:hAnsi="Arial"/>
          <w:sz w:val="24"/>
          <w:szCs w:val="24"/>
        </w:rPr>
        <w:t xml:space="preserve">4. Институт ответственности за неуважение к суду позволяет судам предотвращать поведение, направленное на злоупотребление участниками процесса предоставленными им правами, препятствование или нанесение ущерба отправлению правосудия в конкретном судебном деле. Он призван защищать интересы отправления правосудия и основополагающий принцип верховенства права. Институт ответственности за неуважение к суду основывается целиком и полностью на публичном порядке. В его задачи входит недопущение вмешательства в отправление правосудия, которое может повлиять на исход дела. Критерий неуважения к суду определяется тем, представляют ли инкриминируемые как неуважение к суду слова или действия серьезный риск вмешательства в процесс отправления правосудия.</w:t>
      </w:r>
    </w:p>
    <w:p>
      <w:pPr>
        <w:spacing w:after="120"/>
        <w:jc w:val="both"/>
      </w:pPr>
      <w:r>
        <w:rPr>
          <w:rFonts w:ascii="Arial" w:cs="Arial" w:eastAsia="Arial" w:hAnsi="Arial"/>
          <w:sz w:val="24"/>
          <w:szCs w:val="24"/>
        </w:rPr>
        <w:t xml:space="preserve">По мнению заявителя, оспариваемая на предмет конституционности статья является дублирующей нормой статьи 128 Уголовного </w:t>
      </w:r>
      <w:hyperlink w:history="1" r:id="rIdbl5ebogqdtb05uebaujo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«Оскорбление», признанной решением Конституционной палаты от 6 ноября 2013 года противоречащей </w:t>
      </w:r>
      <w:hyperlink w:history="1" r:id="rIdiwtdayu6jkhqsk5yir4r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различается исключительно по месту, времени совершения преступления и субъектам. Однако следует отметить, что объектом преступления, предусмотренного статьей 321 Уголовного </w:t>
      </w:r>
      <w:hyperlink w:history="1" r:id="rIdfplkloldwzniirwcrka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являются интересы правосудия, посягательства на которые проявляются путем нанесения ущерба чести и достоинству судьи, заседателя и участников судебного разбирательства. Объектом же такого преступления как «оскорбление» выступали честь и достоинство личности.</w:t>
      </w:r>
    </w:p>
    <w:p>
      <w:pPr>
        <w:spacing w:after="120"/>
        <w:jc w:val="both"/>
      </w:pPr>
      <w:r>
        <w:rPr>
          <w:rFonts w:ascii="Arial" w:cs="Arial" w:eastAsia="Arial" w:hAnsi="Arial"/>
          <w:sz w:val="24"/>
          <w:szCs w:val="24"/>
        </w:rPr>
        <w:t xml:space="preserve">Таким образом, рассматриваемые составы двух преступлений имеют существенные различия в отношении объекта преступления. Такие различия являются принципиально значимыми при квалификации преступлений.</w:t>
      </w:r>
    </w:p>
    <w:p>
      <w:pPr>
        <w:spacing w:after="120"/>
        <w:jc w:val="both"/>
      </w:pPr>
      <w:r>
        <w:rPr>
          <w:rFonts w:ascii="Arial" w:cs="Arial" w:eastAsia="Arial" w:hAnsi="Arial"/>
          <w:sz w:val="24"/>
          <w:szCs w:val="24"/>
        </w:rPr>
        <w:t xml:space="preserve">Следует отметить, что судья и заседатели в процессе отправления правосудия выступают от имени суда и не могут рассматриваться как физические лица. Соответственно, неправомерное поведение в отношении судей и заседателей направлено на деятельность суда, на его авторитет, который является важным условием, необходимым для надлежащего исполнения судом его основной обязанности – осуществления правосудия. Участники судебного разбирательства также играют важную роль при отправлении правосудия, так как, реализуя свои процессуальные права и обязанности, способствуют достижению целей правосудия.</w:t>
      </w:r>
    </w:p>
    <w:p>
      <w:pPr>
        <w:spacing w:after="120"/>
        <w:jc w:val="both"/>
      </w:pPr>
      <w:r>
        <w:rPr>
          <w:rFonts w:ascii="Arial" w:cs="Arial" w:eastAsia="Arial" w:hAnsi="Arial"/>
          <w:sz w:val="24"/>
          <w:szCs w:val="24"/>
        </w:rPr>
        <w:t xml:space="preserve">Таким образом, положения оспариваемой статьи являются специальными нормами, предусматривающими уголовную ответственность за посягательства не на честь и достоинство личности, а на общественные отношения в сфере осуществления правосудия, не содержат каких-либо положений, дискриминационных по отношению к тем или иным категориям граждан и ограничивающих конституционные права личности. В частности, они не исключают право гражданина на свободу мысли и слова, не предполагают принуждение его к отказу от своих мнений и убеждений, а также запрет передавать, производить и распространять информацию, в том числе содержащую критические замечания относительно деятельности судов и правоохранительных органов, любым законным способом.</w:t>
      </w:r>
    </w:p>
    <w:p>
      <w:pPr>
        <w:spacing w:after="120"/>
        <w:jc w:val="both"/>
      </w:pPr>
      <w:r>
        <w:rPr>
          <w:rFonts w:ascii="Arial" w:cs="Arial" w:eastAsia="Arial" w:hAnsi="Arial"/>
          <w:sz w:val="24"/>
          <w:szCs w:val="24"/>
        </w:rPr>
        <w:t xml:space="preserve">5. По мнению заявителя, положения оспариваемой нормы противоречат частям 1, 2 статьи 40 </w:t>
      </w:r>
      <w:hyperlink w:history="1" r:id="rId_nmuh1ielqsxez43jfer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гарантирующих судебную защиту прав и свобод, а также устанавливающих право каждого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Особая роль суда в защите прав человека подчеркнута в статье 8 Всеобщей </w:t>
      </w:r>
      <w:hyperlink w:history="1" r:id="rIdberg4sfi-aqclqigyirdq">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согласно которой «каждый человек имеет право на эффективное восстановление в правах компетентными национальными судами в случае нарушения его прав, предоставленных ему Конституцией или законом. Гарантирование судебной защиты прав и свобод человека и гражданина выражается в обеспечении каждому возможности обращения в суд за защитой своих прав и свобод и вынесение судом решения по итогам рассмотрения обращения».</w:t>
      </w:r>
    </w:p>
    <w:p>
      <w:pPr>
        <w:spacing w:after="120"/>
        <w:jc w:val="both"/>
      </w:pPr>
      <w:r>
        <w:rPr>
          <w:rFonts w:ascii="Arial" w:cs="Arial" w:eastAsia="Arial" w:hAnsi="Arial"/>
          <w:sz w:val="24"/>
          <w:szCs w:val="24"/>
        </w:rPr>
        <w:t xml:space="preserve">Нормы, предусматривающие наказание за неуважение к суду, необходимы как средство обеспечения права на справедливую и беспрепятственную систему правосудия и как инструмент защиты надлежащего отправления правосудия, однако действие этих норм должно ограничиваться обстоятельствами, когда оскорбляющее деяние не подпадает под определение какого-либо другого уголовного преступления. Вместе с тем оспариваемая норма не содержит запрета или ограничения в реализации конституционной возможности каждого на обращение в суд и принятия им решения, а также на повторное рассмотрение дела вышестоящим судом.</w:t>
      </w:r>
    </w:p>
    <w:p>
      <w:pPr>
        <w:spacing w:after="120"/>
        <w:jc w:val="both"/>
      </w:pPr>
      <w:r>
        <w:rPr>
          <w:rFonts w:ascii="Arial" w:cs="Arial" w:eastAsia="Arial" w:hAnsi="Arial"/>
          <w:sz w:val="24"/>
          <w:szCs w:val="24"/>
        </w:rPr>
        <w:t xml:space="preserve">Таким образом, положения оспариваемой нормы не нарушают права каждого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svm03eh8x_mjyr6ow1s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52 </w:t>
      </w:r>
      <w:hyperlink w:history="1" r:id="rIdcyrbhv4ziunwypfzjgf-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статью 321 Уголовного </w:t>
      </w:r>
      <w:hyperlink w:history="1" r:id="rIdj4khcp3q1nykdxiuury1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5 статьи 20, статье 31, части 5 статьи 33, частям 1, 2 статьи 40 </w:t>
      </w:r>
      <w:hyperlink w:history="1" r:id="rIdimjlsacye6i54p1en1tk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Касымалиев М.Ш.</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045q771nakjq5abhn16d" Type="http://schemas.openxmlformats.org/officeDocument/2006/relationships/hyperlink" Target="http://kodeks.duckdns.org/document/202913" TargetMode="External"/><Relationship Id="rIdlc6rje08o2_trmf4rtpyp" Type="http://schemas.openxmlformats.org/officeDocument/2006/relationships/hyperlink" Target="http://kodeks.duckdns.org/document/203281" TargetMode="External"/><Relationship Id="rIdjprok68k8emxizi4wlxem" Type="http://schemas.openxmlformats.org/officeDocument/2006/relationships/hyperlink" Target="http://kodeks.duckdns.org/document/568" TargetMode="External"/><Relationship Id="rIdjpjsh2bc16jv8chpnmfrs" Type="http://schemas.openxmlformats.org/officeDocument/2006/relationships/hyperlink" Target="http://kodeks.duckdns.org/document/568" TargetMode="External"/><Relationship Id="rId50laturmm-f7kjchw9pyi" Type="http://schemas.openxmlformats.org/officeDocument/2006/relationships/hyperlink" Target="http://kodeks.duckdns.org/document/568" TargetMode="External"/><Relationship Id="rIdav8owzunbkjdvy90qp3eg" Type="http://schemas.openxmlformats.org/officeDocument/2006/relationships/hyperlink" Target="http://kodeks.duckdns.org/document/202913" TargetMode="External"/><Relationship Id="rIduxkw_glbabiafaest5new" Type="http://schemas.openxmlformats.org/officeDocument/2006/relationships/hyperlink" Target="http://kodeks.duckdns.org/document/568" TargetMode="External"/><Relationship Id="rIdembu_khloi7kdy-1jhlnq" Type="http://schemas.openxmlformats.org/officeDocument/2006/relationships/hyperlink" Target="http://kodeks.duckdns.org/document/568" TargetMode="External"/><Relationship Id="rIdkfrqtxrxeaekx3stmtzkh" Type="http://schemas.openxmlformats.org/officeDocument/2006/relationships/hyperlink" Target="http://kodeks.duckdns.org/document/568" TargetMode="External"/><Relationship Id="rIdale75m1ob7jmxz8tczo6d" Type="http://schemas.openxmlformats.org/officeDocument/2006/relationships/hyperlink" Target="http://kodeks.duckdns.org/document/568" TargetMode="External"/><Relationship Id="rIdkviazqrpzww8a3cderu-9" Type="http://schemas.openxmlformats.org/officeDocument/2006/relationships/hyperlink" Target="http://kodeks.duckdns.org/document/568" TargetMode="External"/><Relationship Id="rId-hwbk1ghywqm6xy1bughj" Type="http://schemas.openxmlformats.org/officeDocument/2006/relationships/hyperlink" Target="http://kodeks.duckdns.org/document/202913" TargetMode="External"/><Relationship Id="rIdr4ksdjri0cnleglytimgr" Type="http://schemas.openxmlformats.org/officeDocument/2006/relationships/hyperlink" Target="http://kodeks.duckdns.org/document/203281" TargetMode="External"/><Relationship Id="rIdovibck0bgm3obgilbr5p2" Type="http://schemas.openxmlformats.org/officeDocument/2006/relationships/hyperlink" Target="http://kodeks.duckdns.org/document/568" TargetMode="External"/><Relationship Id="rIdeuvesxsespcui9ambj3o-" Type="http://schemas.openxmlformats.org/officeDocument/2006/relationships/hyperlink" Target="http://kodeks.duckdns.org/document/568" TargetMode="External"/><Relationship Id="rIdribzvvgmamdwvuinkjrsc" Type="http://schemas.openxmlformats.org/officeDocument/2006/relationships/hyperlink" Target="http://kodeks.duckdns.org/document/569" TargetMode="External"/><Relationship Id="rId683rg0rbhrsznzvdr4ssn" Type="http://schemas.openxmlformats.org/officeDocument/2006/relationships/hyperlink" Target="http://kodeks.duckdns.org/document/202913" TargetMode="External"/><Relationship Id="rId2fcsy2iawt5v61amp2xi4" Type="http://schemas.openxmlformats.org/officeDocument/2006/relationships/hyperlink" Target="http://kodeks.duckdns.org/document/202913" TargetMode="External"/><Relationship Id="rIdkiv6wq2msuwxe5qmzqzqq" Type="http://schemas.openxmlformats.org/officeDocument/2006/relationships/hyperlink" Target="http://kodeks.duckdns.org/document/202913" TargetMode="External"/><Relationship Id="rIdwbl9z8sg5k0tub9se1xbw" Type="http://schemas.openxmlformats.org/officeDocument/2006/relationships/hyperlink" Target="http://kodeks.duckdns.org/document/202913" TargetMode="External"/><Relationship Id="rIdvg1mzp-zu2dpn8gkg8u2s" Type="http://schemas.openxmlformats.org/officeDocument/2006/relationships/hyperlink" Target="http://kodeks.duckdns.org/document/17581" TargetMode="External"/><Relationship Id="rIdzwao0aybfucl2whdb6gxm" Type="http://schemas.openxmlformats.org/officeDocument/2006/relationships/hyperlink" Target="http://kodeks.duckdns.org/document/202913" TargetMode="External"/><Relationship Id="rIdrvr6etlj2n_xtaxyk7uef" Type="http://schemas.openxmlformats.org/officeDocument/2006/relationships/hyperlink" Target="http://kodeks.duckdns.org/document/202913" TargetMode="External"/><Relationship Id="rIdkjdxwe7m3ftjfvgth_bju" Type="http://schemas.openxmlformats.org/officeDocument/2006/relationships/hyperlink" Target="http://kodeks.duckdns.org/document/202913" TargetMode="External"/><Relationship Id="rIdcsoo-z-qob1gq33sfporo" Type="http://schemas.openxmlformats.org/officeDocument/2006/relationships/hyperlink" Target="http://kodeks.duckdns.org/document/568" TargetMode="External"/><Relationship Id="rIdbl5ebogqdtb05uebaujo_" Type="http://schemas.openxmlformats.org/officeDocument/2006/relationships/hyperlink" Target="http://kodeks.duckdns.org/document/568" TargetMode="External"/><Relationship Id="rIdiwtdayu6jkhqsk5yir4r5" Type="http://schemas.openxmlformats.org/officeDocument/2006/relationships/hyperlink" Target="http://kodeks.duckdns.org/document/202913" TargetMode="External"/><Relationship Id="rIdfplkloldwzniirwcrkaj1" Type="http://schemas.openxmlformats.org/officeDocument/2006/relationships/hyperlink" Target="http://kodeks.duckdns.org/document/568" TargetMode="External"/><Relationship Id="rId_nmuh1ielqsxez43jfer8" Type="http://schemas.openxmlformats.org/officeDocument/2006/relationships/hyperlink" Target="http://kodeks.duckdns.org/document/202913" TargetMode="External"/><Relationship Id="rIdberg4sfi-aqclqigyirdq" Type="http://schemas.openxmlformats.org/officeDocument/2006/relationships/hyperlink" Target="http://kodeks.duckdns.org/document/17534" TargetMode="External"/><Relationship Id="rIdsvm03eh8x_mjyr6ow1snn" Type="http://schemas.openxmlformats.org/officeDocument/2006/relationships/hyperlink" Target="http://kodeks.duckdns.org/document/202913" TargetMode="External"/><Relationship Id="rIdcyrbhv4ziunwypfzjgf-z" Type="http://schemas.openxmlformats.org/officeDocument/2006/relationships/hyperlink" Target="http://kodeks.duckdns.org/document/203281" TargetMode="External"/><Relationship Id="rIdj4khcp3q1nykdxiuury14" Type="http://schemas.openxmlformats.org/officeDocument/2006/relationships/hyperlink" Target="http://kodeks.duckdns.org/document/568" TargetMode="External"/><Relationship Id="rIdimjlsacye6i54p1en1tkm"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2026-09-23T05:41:34.044Z</dcterms:created>
  <dcterms:modified xsi:type="dcterms:W3CDTF">2026-09-23T05:41:34.044Z</dcterms:modified>
</cp:coreProperties>
</file>

<file path=docProps/custom.xml><?xml version="1.0" encoding="utf-8"?>
<Properties xmlns="http://schemas.openxmlformats.org/officeDocument/2006/custom-properties" xmlns:vt="http://schemas.openxmlformats.org/officeDocument/2006/docPropsVTypes"/>
</file>