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pu4y3_szkq7q7spwd3cfc">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Правительства КР от 30 апреля 2016 года № 228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i43pq0_kdd26a9010-7i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мая 2014 года № 244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заполнения Единой налоговой декларации организации</w:t>
      </w:r>
    </w:p>
    <w:p>
      <w:pPr>
        <w:spacing w:after="120"/>
        <w:jc w:val="both"/>
      </w:pPr>
      <w:r>
        <w:rPr>
          <w:rFonts w:ascii="Arial" w:cs="Arial" w:eastAsia="Arial" w:hAnsi="Arial"/>
          <w:sz w:val="24"/>
          <w:szCs w:val="24"/>
        </w:rPr>
        <w:t xml:space="preserve">(FORM STI - 101)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определяет правила заполнения Единой налоговой декларации организации (FORM STI - 101) (далее - Декларация).</w:t>
      </w:r>
    </w:p>
    <w:p>
      <w:pPr>
        <w:spacing w:after="120"/>
        <w:jc w:val="both"/>
      </w:pPr>
      <w:r>
        <w:rPr>
          <w:rFonts w:ascii="Arial" w:cs="Arial" w:eastAsia="Arial" w:hAnsi="Arial"/>
          <w:sz w:val="24"/>
          <w:szCs w:val="24"/>
        </w:rPr>
        <w:t xml:space="preserve">2. Декларация составляется отечественной организацией, иностранной организацией, осуществляющей деятельность на территории Кыргызской Республики с образованием постоянного учреждения (далее - налогоплательщик), за календарный год и представляется до 1 марта года, следующего за отчетным годом, по месту налоговой регистрации.</w:t>
      </w:r>
    </w:p>
    <w:p>
      <w:pPr>
        <w:spacing w:after="120"/>
        <w:jc w:val="both"/>
      </w:pPr>
      <w:r>
        <w:rPr>
          <w:rFonts w:ascii="Arial" w:cs="Arial" w:eastAsia="Arial" w:hAnsi="Arial"/>
          <w:sz w:val="24"/>
          <w:szCs w:val="24"/>
        </w:rPr>
        <w:t xml:space="preserve">Примечание: в соответствии со статьей 22 Налогового кодекса Кыргызской Республики (далее - Налоговый кодекс) отечественной организацией признается юридическое лицо, созданное в соответствии с гражданским законодательством Кыргызской Республики, независимо от формы собственности.</w:t>
      </w:r>
    </w:p>
    <w:p>
      <w:pPr>
        <w:spacing w:after="120"/>
        <w:jc w:val="both"/>
      </w:pPr>
      <w:r>
        <w:rPr>
          <w:rFonts w:ascii="Arial" w:cs="Arial" w:eastAsia="Arial" w:hAnsi="Arial"/>
          <w:sz w:val="24"/>
          <w:szCs w:val="24"/>
        </w:rPr>
        <w:t xml:space="preserve">Декларация содержит информацию об имущественном и финансовом положении организации, ее филиалов, представительств и иных обособленных подразделений.</w:t>
      </w:r>
    </w:p>
    <w:p>
      <w:pPr>
        <w:spacing w:after="120"/>
        <w:jc w:val="both"/>
      </w:pPr>
      <w:r>
        <w:rPr>
          <w:rFonts w:ascii="Arial" w:cs="Arial" w:eastAsia="Arial" w:hAnsi="Arial"/>
          <w:sz w:val="24"/>
          <w:szCs w:val="24"/>
        </w:rPr>
        <w:t xml:space="preserve">3. Декларация состоит из формы «Единая налоговая декларация организации» (FORM STI - 101) и следующих приложений к ней:</w:t>
      </w:r>
    </w:p>
    <w:p>
      <w:pPr>
        <w:spacing w:after="120"/>
        <w:jc w:val="both"/>
      </w:pPr>
      <w:r>
        <w:rPr>
          <w:rFonts w:ascii="Arial" w:cs="Arial" w:eastAsia="Arial" w:hAnsi="Arial"/>
          <w:sz w:val="24"/>
          <w:szCs w:val="24"/>
        </w:rPr>
        <w:t xml:space="preserve">1) приложение 1 «Совокупный годовой доход» (FORM STI - 101 - 001);</w:t>
      </w:r>
    </w:p>
    <w:p>
      <w:pPr>
        <w:spacing w:after="120"/>
        <w:jc w:val="both"/>
      </w:pPr>
      <w:r>
        <w:rPr>
          <w:rFonts w:ascii="Arial" w:cs="Arial" w:eastAsia="Arial" w:hAnsi="Arial"/>
          <w:sz w:val="24"/>
          <w:szCs w:val="24"/>
        </w:rPr>
        <w:t xml:space="preserve">2) приложение 2 «Расходы, подлежащие вычету» (FORM STI - 101-002);</w:t>
      </w:r>
    </w:p>
    <w:p>
      <w:pPr>
        <w:spacing w:after="120"/>
        <w:jc w:val="both"/>
      </w:pPr>
      <w:r>
        <w:rPr>
          <w:rFonts w:ascii="Arial" w:cs="Arial" w:eastAsia="Arial" w:hAnsi="Arial"/>
          <w:sz w:val="24"/>
          <w:szCs w:val="24"/>
        </w:rPr>
        <w:t xml:space="preserve">3) приложение 3 «Необлагаемые доходы и доходы, обложенные у источника выплаты» (FORM STI – 101 - 003);</w:t>
      </w:r>
    </w:p>
    <w:p>
      <w:pPr>
        <w:spacing w:after="120"/>
        <w:jc w:val="both"/>
      </w:pPr>
      <w:r>
        <w:rPr>
          <w:rFonts w:ascii="Arial" w:cs="Arial" w:eastAsia="Arial" w:hAnsi="Arial"/>
          <w:sz w:val="24"/>
          <w:szCs w:val="24"/>
        </w:rPr>
        <w:t xml:space="preserve">4) приложение 4 «Прибыль, освобожденная от налога» (FORM STI - 101 - 004);</w:t>
      </w:r>
    </w:p>
    <w:p>
      <w:pPr>
        <w:spacing w:after="120"/>
        <w:jc w:val="both"/>
      </w:pPr>
      <w:r>
        <w:rPr>
          <w:rFonts w:ascii="Arial" w:cs="Arial" w:eastAsia="Arial" w:hAnsi="Arial"/>
          <w:sz w:val="24"/>
          <w:szCs w:val="24"/>
        </w:rPr>
        <w:t xml:space="preserve">5) приложение 5 «Налог на имущество» (FORM STI - 101 - 005) и расшифровок (FORM STI - 101 - 005 - 01), (FORM STI - 101 - 005 - 02) к данному приложению.</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а) в расшифровке по объектам имущества 1, 2 и 3 групп указываются по каждому объекту отдельно:</w:t>
      </w:r>
    </w:p>
    <w:p>
      <w:pPr>
        <w:spacing w:after="120"/>
        <w:jc w:val="both"/>
      </w:pPr>
      <w:r>
        <w:rPr>
          <w:rFonts w:ascii="Arial" w:cs="Arial" w:eastAsia="Arial" w:hAnsi="Arial"/>
          <w:sz w:val="24"/>
          <w:szCs w:val="24"/>
        </w:rPr>
        <w:t xml:space="preserve">- код группы объекта имущества;</w:t>
      </w:r>
    </w:p>
    <w:p>
      <w:pPr>
        <w:spacing w:after="120"/>
        <w:jc w:val="both"/>
      </w:pPr>
      <w:r>
        <w:rPr>
          <w:rFonts w:ascii="Arial" w:cs="Arial" w:eastAsia="Arial" w:hAnsi="Arial"/>
          <w:sz w:val="24"/>
          <w:szCs w:val="24"/>
        </w:rPr>
        <w:t xml:space="preserve">- код вида имущества;</w:t>
      </w:r>
    </w:p>
    <w:p>
      <w:pPr>
        <w:spacing w:after="120"/>
        <w:jc w:val="both"/>
      </w:pPr>
      <w:r>
        <w:rPr>
          <w:rFonts w:ascii="Arial" w:cs="Arial" w:eastAsia="Arial" w:hAnsi="Arial"/>
          <w:sz w:val="24"/>
          <w:szCs w:val="24"/>
        </w:rPr>
        <w:t xml:space="preserve">- код пользователя имущества;</w:t>
      </w:r>
    </w:p>
    <w:p>
      <w:pPr>
        <w:spacing w:after="120"/>
        <w:jc w:val="both"/>
      </w:pPr>
      <w:r>
        <w:rPr>
          <w:rFonts w:ascii="Arial" w:cs="Arial" w:eastAsia="Arial" w:hAnsi="Arial"/>
          <w:sz w:val="24"/>
          <w:szCs w:val="24"/>
        </w:rPr>
        <w:t xml:space="preserve">- код района нахождения имущества;</w:t>
      </w:r>
    </w:p>
    <w:p>
      <w:pPr>
        <w:spacing w:after="120"/>
        <w:jc w:val="both"/>
      </w:pPr>
      <w:r>
        <w:rPr>
          <w:rFonts w:ascii="Arial" w:cs="Arial" w:eastAsia="Arial" w:hAnsi="Arial"/>
          <w:sz w:val="24"/>
          <w:szCs w:val="24"/>
        </w:rPr>
        <w:t xml:space="preserve">- идентификационный код имущества;</w:t>
      </w:r>
    </w:p>
    <w:p>
      <w:pPr>
        <w:spacing w:after="120"/>
        <w:jc w:val="both"/>
      </w:pPr>
      <w:r>
        <w:rPr>
          <w:rFonts w:ascii="Arial" w:cs="Arial" w:eastAsia="Arial" w:hAnsi="Arial"/>
          <w:sz w:val="24"/>
          <w:szCs w:val="24"/>
        </w:rPr>
        <w:t xml:space="preserve">- код объекта имущества;</w:t>
      </w:r>
    </w:p>
    <w:p>
      <w:pPr>
        <w:spacing w:after="120"/>
        <w:jc w:val="both"/>
      </w:pPr>
      <w:r>
        <w:rPr>
          <w:rFonts w:ascii="Arial" w:cs="Arial" w:eastAsia="Arial" w:hAnsi="Arial"/>
          <w:sz w:val="24"/>
          <w:szCs w:val="24"/>
        </w:rPr>
        <w:t xml:space="preserve">- общая площадь (кв.м);</w:t>
      </w:r>
    </w:p>
    <w:p>
      <w:pPr>
        <w:spacing w:after="120"/>
        <w:jc w:val="both"/>
      </w:pPr>
      <w:r>
        <w:rPr>
          <w:rFonts w:ascii="Arial" w:cs="Arial" w:eastAsia="Arial" w:hAnsi="Arial"/>
          <w:sz w:val="24"/>
          <w:szCs w:val="24"/>
        </w:rPr>
        <w:t xml:space="preserve">- сумма налога;</w:t>
      </w:r>
    </w:p>
    <w:p>
      <w:pPr>
        <w:spacing w:after="120"/>
        <w:jc w:val="both"/>
      </w:pPr>
      <w:r>
        <w:rPr>
          <w:rFonts w:ascii="Arial" w:cs="Arial" w:eastAsia="Arial" w:hAnsi="Arial"/>
          <w:sz w:val="24"/>
          <w:szCs w:val="24"/>
        </w:rPr>
        <w:t xml:space="preserve">б) в расшифровке по объектам 4 группы указываются по каждому объекту отдельно:</w:t>
      </w:r>
    </w:p>
    <w:p>
      <w:pPr>
        <w:spacing w:after="120"/>
        <w:jc w:val="both"/>
      </w:pPr>
      <w:r>
        <w:rPr>
          <w:rFonts w:ascii="Arial" w:cs="Arial" w:eastAsia="Arial" w:hAnsi="Arial"/>
          <w:sz w:val="24"/>
          <w:szCs w:val="24"/>
        </w:rPr>
        <w:t xml:space="preserve">- вид двигателя транспортного средства;</w:t>
      </w:r>
    </w:p>
    <w:p>
      <w:pPr>
        <w:spacing w:after="120"/>
        <w:jc w:val="both"/>
      </w:pPr>
      <w:r>
        <w:rPr>
          <w:rFonts w:ascii="Arial" w:cs="Arial" w:eastAsia="Arial" w:hAnsi="Arial"/>
          <w:sz w:val="24"/>
          <w:szCs w:val="24"/>
        </w:rPr>
        <w:t xml:space="preserve">- код вида транспортного средства;</w:t>
      </w:r>
    </w:p>
    <w:p>
      <w:pPr>
        <w:spacing w:after="120"/>
        <w:jc w:val="both"/>
      </w:pPr>
      <w:r>
        <w:rPr>
          <w:rFonts w:ascii="Arial" w:cs="Arial" w:eastAsia="Arial" w:hAnsi="Arial"/>
          <w:sz w:val="24"/>
          <w:szCs w:val="24"/>
        </w:rPr>
        <w:t xml:space="preserve">- код пользователя транспортного средства;</w:t>
      </w:r>
    </w:p>
    <w:p>
      <w:pPr>
        <w:spacing w:after="120"/>
        <w:jc w:val="both"/>
      </w:pPr>
      <w:r>
        <w:rPr>
          <w:rFonts w:ascii="Arial" w:cs="Arial" w:eastAsia="Arial" w:hAnsi="Arial"/>
          <w:sz w:val="24"/>
          <w:szCs w:val="24"/>
        </w:rPr>
        <w:t xml:space="preserve">- код объекта;</w:t>
      </w:r>
    </w:p>
    <w:p>
      <w:pPr>
        <w:spacing w:after="120"/>
        <w:jc w:val="both"/>
      </w:pPr>
      <w:r>
        <w:rPr>
          <w:rFonts w:ascii="Arial" w:cs="Arial" w:eastAsia="Arial" w:hAnsi="Arial"/>
          <w:sz w:val="24"/>
          <w:szCs w:val="24"/>
        </w:rPr>
        <w:t xml:space="preserve">- марка транспортного средства;</w:t>
      </w:r>
    </w:p>
    <w:p>
      <w:pPr>
        <w:spacing w:after="120"/>
        <w:jc w:val="both"/>
      </w:pPr>
      <w:r>
        <w:rPr>
          <w:rFonts w:ascii="Arial" w:cs="Arial" w:eastAsia="Arial" w:hAnsi="Arial"/>
          <w:sz w:val="24"/>
          <w:szCs w:val="24"/>
        </w:rPr>
        <w:t xml:space="preserve">- сумма налога;</w:t>
      </w:r>
    </w:p>
    <w:p>
      <w:pPr>
        <w:spacing w:after="120"/>
        <w:jc w:val="both"/>
      </w:pPr>
      <w:r>
        <w:rPr>
          <w:rFonts w:ascii="Arial" w:cs="Arial" w:eastAsia="Arial" w:hAnsi="Arial"/>
          <w:sz w:val="24"/>
          <w:szCs w:val="24"/>
        </w:rPr>
        <w:t xml:space="preserve">6) приложение 6 «Земельный налог» (FORM STI - 101 - 006) и расшифровки (FORM STI - 101 - 006 - 01) к данному приложению.</w:t>
      </w:r>
    </w:p>
    <w:p>
      <w:pPr>
        <w:spacing w:after="120"/>
        <w:jc w:val="both"/>
      </w:pPr>
      <w:r>
        <w:rPr>
          <w:rFonts w:ascii="Arial" w:cs="Arial" w:eastAsia="Arial" w:hAnsi="Arial"/>
          <w:sz w:val="24"/>
          <w:szCs w:val="24"/>
        </w:rPr>
        <w:t xml:space="preserve">Примечание: в расшифровке по земельным участкам указываются по каждому участку отдельно:</w:t>
      </w:r>
    </w:p>
    <w:p>
      <w:pPr>
        <w:spacing w:after="120"/>
        <w:jc w:val="both"/>
      </w:pPr>
      <w:r>
        <w:rPr>
          <w:rFonts w:ascii="Arial" w:cs="Arial" w:eastAsia="Arial" w:hAnsi="Arial"/>
          <w:sz w:val="24"/>
          <w:szCs w:val="24"/>
        </w:rPr>
        <w:t xml:space="preserve">- код назначения земельного участка;</w:t>
      </w:r>
    </w:p>
    <w:p>
      <w:pPr>
        <w:spacing w:after="120"/>
        <w:jc w:val="both"/>
      </w:pPr>
      <w:r>
        <w:rPr>
          <w:rFonts w:ascii="Arial" w:cs="Arial" w:eastAsia="Arial" w:hAnsi="Arial"/>
          <w:sz w:val="24"/>
          <w:szCs w:val="24"/>
        </w:rPr>
        <w:t xml:space="preserve">- код вида земельного участка;</w:t>
      </w:r>
    </w:p>
    <w:p>
      <w:pPr>
        <w:spacing w:after="120"/>
        <w:jc w:val="both"/>
      </w:pPr>
      <w:r>
        <w:rPr>
          <w:rFonts w:ascii="Arial" w:cs="Arial" w:eastAsia="Arial" w:hAnsi="Arial"/>
          <w:sz w:val="24"/>
          <w:szCs w:val="24"/>
        </w:rPr>
        <w:t xml:space="preserve">- код пользователя земельного участка;</w:t>
      </w:r>
    </w:p>
    <w:p>
      <w:pPr>
        <w:spacing w:after="120"/>
        <w:jc w:val="both"/>
      </w:pPr>
      <w:r>
        <w:rPr>
          <w:rFonts w:ascii="Arial" w:cs="Arial" w:eastAsia="Arial" w:hAnsi="Arial"/>
          <w:sz w:val="24"/>
          <w:szCs w:val="24"/>
        </w:rPr>
        <w:t xml:space="preserve">- код района нахождения земельного участка;</w:t>
      </w:r>
    </w:p>
    <w:p>
      <w:pPr>
        <w:spacing w:after="120"/>
        <w:jc w:val="both"/>
      </w:pPr>
      <w:r>
        <w:rPr>
          <w:rFonts w:ascii="Arial" w:cs="Arial" w:eastAsia="Arial" w:hAnsi="Arial"/>
          <w:sz w:val="24"/>
          <w:szCs w:val="24"/>
        </w:rPr>
        <w:t xml:space="preserve">- идентификационный код земельного участка;</w:t>
      </w:r>
    </w:p>
    <w:p>
      <w:pPr>
        <w:spacing w:after="120"/>
        <w:jc w:val="both"/>
      </w:pPr>
      <w:r>
        <w:rPr>
          <w:rFonts w:ascii="Arial" w:cs="Arial" w:eastAsia="Arial" w:hAnsi="Arial"/>
          <w:sz w:val="24"/>
          <w:szCs w:val="24"/>
        </w:rPr>
        <w:t xml:space="preserve">- код объекта;</w:t>
      </w:r>
    </w:p>
    <w:p>
      <w:pPr>
        <w:spacing w:after="120"/>
        <w:jc w:val="both"/>
      </w:pPr>
      <w:r>
        <w:rPr>
          <w:rFonts w:ascii="Arial" w:cs="Arial" w:eastAsia="Arial" w:hAnsi="Arial"/>
          <w:sz w:val="24"/>
          <w:szCs w:val="24"/>
        </w:rPr>
        <w:t xml:space="preserve">- общая площадь (кв.м);</w:t>
      </w:r>
    </w:p>
    <w:p>
      <w:pPr>
        <w:spacing w:after="120"/>
        <w:jc w:val="both"/>
      </w:pPr>
      <w:r>
        <w:rPr>
          <w:rFonts w:ascii="Arial" w:cs="Arial" w:eastAsia="Arial" w:hAnsi="Arial"/>
          <w:sz w:val="24"/>
          <w:szCs w:val="24"/>
        </w:rPr>
        <w:t xml:space="preserve">- сумма налога;</w:t>
      </w:r>
    </w:p>
    <w:p>
      <w:pPr>
        <w:spacing w:after="120"/>
        <w:jc w:val="both"/>
      </w:pPr>
      <w:r>
        <w:rPr>
          <w:rFonts w:ascii="Arial" w:cs="Arial" w:eastAsia="Arial" w:hAnsi="Arial"/>
          <w:sz w:val="24"/>
          <w:szCs w:val="24"/>
        </w:rPr>
        <w:t xml:space="preserve">7) приложение 7 «Специальные налоговые режимы» (FORM STI - 101-007);</w:t>
      </w:r>
    </w:p>
    <w:p>
      <w:pPr>
        <w:spacing w:after="120"/>
        <w:jc w:val="both"/>
      </w:pPr>
      <w:r>
        <w:rPr>
          <w:rFonts w:ascii="Arial" w:cs="Arial" w:eastAsia="Arial" w:hAnsi="Arial"/>
          <w:sz w:val="24"/>
          <w:szCs w:val="24"/>
        </w:rPr>
        <w:t xml:space="preserve">8) приложение 8 «Горнодобывающее и/или горноперерабатывающее предприятие по добыче и реализации золота и золотосодержащей продукции» (FORM STI – 101 - 008);</w:t>
      </w:r>
    </w:p>
    <w:p>
      <w:pPr>
        <w:spacing w:after="120"/>
        <w:jc w:val="both"/>
      </w:pPr>
      <w:r>
        <w:rPr>
          <w:rFonts w:ascii="Arial" w:cs="Arial" w:eastAsia="Arial" w:hAnsi="Arial"/>
          <w:sz w:val="24"/>
          <w:szCs w:val="24"/>
        </w:rPr>
        <w:t xml:space="preserve">9) приложение 9 «Расшифровка переноса убытков, связанных с экономической деятельностью, и доходы, полученные за пределами Кыргызской Республики» (FORM STI - 101 - 009).</w:t>
      </w:r>
    </w:p>
    <w:p>
      <w:pPr>
        <w:spacing w:after="120"/>
        <w:jc w:val="both"/>
      </w:pPr>
      <w:r>
        <w:rPr>
          <w:rFonts w:ascii="Arial" w:cs="Arial" w:eastAsia="Arial" w:hAnsi="Arial"/>
          <w:sz w:val="24"/>
          <w:szCs w:val="24"/>
        </w:rPr>
        <w:t xml:space="preserve">4. В случае, если налогоплательщик не имеет показателей для заполнения какого-либо из приложений, такое приложение не заполняется и не представляется в налоговый орган.</w:t>
      </w:r>
    </w:p>
    <w:p>
      <w:pPr>
        <w:spacing w:after="120"/>
        <w:jc w:val="both"/>
      </w:pPr>
      <w:r>
        <w:rPr>
          <w:rFonts w:ascii="Arial" w:cs="Arial" w:eastAsia="Arial" w:hAnsi="Arial"/>
          <w:sz w:val="24"/>
          <w:szCs w:val="24"/>
        </w:rPr>
        <w:t xml:space="preserve">5. Показатели, указанные в заполненных приложениях, переносятся в соответствующие ячейки формы Декларации.</w:t>
      </w:r>
    </w:p>
    <w:p>
      <w:pPr>
        <w:spacing w:after="120"/>
        <w:jc w:val="both"/>
      </w:pPr>
      <w:r>
        <w:rPr>
          <w:rFonts w:ascii="Arial" w:cs="Arial" w:eastAsia="Arial" w:hAnsi="Arial"/>
          <w:sz w:val="24"/>
          <w:szCs w:val="24"/>
        </w:rPr>
        <w:t xml:space="preserve">6. Показатели, отражаемые в ячейках 102, 103, 104, 107, 201 и 202 Декларации, должны быть идентичны данным, отраженным в этих ячейках в приложениях.</w:t>
      </w:r>
    </w:p>
    <w:p>
      <w:pPr>
        <w:spacing w:after="120"/>
        <w:jc w:val="both"/>
      </w:pPr>
      <w:r>
        <w:rPr>
          <w:rFonts w:ascii="Arial" w:cs="Arial" w:eastAsia="Arial" w:hAnsi="Arial"/>
          <w:sz w:val="24"/>
          <w:szCs w:val="24"/>
        </w:rPr>
        <w:t xml:space="preserve">7. При отсутствии показателя в соответствующих ячейках указывается цифра «0», за исключением приложений 5 и 6.</w:t>
      </w:r>
    </w:p>
    <w:p>
      <w:pPr>
        <w:spacing w:after="120"/>
        <w:jc w:val="both"/>
      </w:pPr>
      <w:r>
        <w:rPr>
          <w:rFonts w:ascii="Arial" w:cs="Arial" w:eastAsia="Arial" w:hAnsi="Arial"/>
          <w:sz w:val="24"/>
          <w:szCs w:val="24"/>
        </w:rPr>
        <w:t xml:space="preserve">Примечание: документы, подтверждающие получение дохода, удержание налога у источника выплаты, уплату налога налогоплательщиком, а также право налогоплательщика на вычет, льготы и/или освобождение от уплаты налога, находятся на хранении у налогоплательщика и к Декларации не прилагаются. Указанные и другие документы, подтверждающие правильность исчисления и уплаты налога налогоплательщиком, представляются им должностному лицу налогового органа при проведении налогового контроля.</w:t>
      </w:r>
    </w:p>
    <w:p>
      <w:pPr>
        <w:spacing w:after="120"/>
        <w:jc w:val="both"/>
      </w:pPr>
      <w:r>
        <w:rPr>
          <w:rFonts w:ascii="Arial" w:cs="Arial" w:eastAsia="Arial" w:hAnsi="Arial"/>
          <w:sz w:val="24"/>
          <w:szCs w:val="24"/>
        </w:rPr>
        <w:t xml:space="preserve">8. В нижней части Декларации указываются полные имя, фамилия, отчество, занимаемая должность лица, подписавшего Декларацию. Декларация и приложения к ней подписываются:</w:t>
      </w:r>
    </w:p>
    <w:p>
      <w:pPr>
        <w:spacing w:after="120"/>
        <w:jc w:val="both"/>
      </w:pPr>
      <w:r>
        <w:rPr>
          <w:rFonts w:ascii="Arial" w:cs="Arial" w:eastAsia="Arial" w:hAnsi="Arial"/>
          <w:sz w:val="24"/>
          <w:szCs w:val="24"/>
        </w:rPr>
        <w:t xml:space="preserve">1) руководителем организации и заверяется печатью организации;</w:t>
      </w:r>
    </w:p>
    <w:p>
      <w:pPr>
        <w:spacing w:after="120"/>
        <w:jc w:val="both"/>
      </w:pPr>
      <w:r>
        <w:rPr>
          <w:rFonts w:ascii="Arial" w:cs="Arial" w:eastAsia="Arial" w:hAnsi="Arial"/>
          <w:sz w:val="24"/>
          <w:szCs w:val="24"/>
        </w:rPr>
        <w:t xml:space="preserve">2) доверенным лицом/руководителем организации-представителя в случае составления и представления Декларации налоговым представителем, уполномоченным представлять интересы организации на основании доверенности. Подпись заверяется печатью лица/организации, подписавшего Декларацию.</w:t>
      </w:r>
    </w:p>
    <w:p>
      <w:pPr>
        <w:spacing w:after="120"/>
        <w:jc w:val="both"/>
      </w:pPr>
      <w:r>
        <w:rPr>
          <w:rFonts w:ascii="Arial" w:cs="Arial" w:eastAsia="Arial" w:hAnsi="Arial"/>
          <w:sz w:val="24"/>
          <w:szCs w:val="24"/>
        </w:rPr>
        <w:t xml:space="preserve">В случае подписания Декларации доверенным лицом/руководителем организации - представителя в соответствии с полномочиями, указанными в доверенности, в нижней части Декларации указываются название организации-представителя, полные имя, фамилия, отчество, занимаемая должность лица, подписавшего Декларацию, реквизиты доверенности, на основании которой осуществляется налоговое представительство.</w:t>
      </w:r>
    </w:p>
    <w:p>
      <w:pPr>
        <w:spacing w:after="120"/>
        <w:jc w:val="both"/>
      </w:pPr>
      <w:r>
        <w:rPr>
          <w:rFonts w:ascii="Arial" w:cs="Arial" w:eastAsia="Arial" w:hAnsi="Arial"/>
          <w:sz w:val="24"/>
          <w:szCs w:val="24"/>
        </w:rPr>
        <w:t xml:space="preserve">9. Декларация может быть представлена в явочном порядке на бумажном носителе, отправлена по почте заказным письмом с уведомлением о вручении, а также в электронной форме.</w:t>
      </w:r>
    </w:p>
    <w:p>
      <w:pPr>
        <w:spacing w:after="120"/>
        <w:jc w:val="both"/>
      </w:pPr>
      <w:r>
        <w:rPr>
          <w:rFonts w:ascii="Arial" w:cs="Arial" w:eastAsia="Arial" w:hAnsi="Arial"/>
          <w:sz w:val="24"/>
          <w:szCs w:val="24"/>
        </w:rPr>
        <w:t xml:space="preserve">10. При представлении Декларации в явочном порядке Декларация заполняется в двух экземплярах, первый экземпляр Декларации остается в налоговом органе, второй экземпляр Декларации с отметкой налогового органа возвращается налогоплательщику.</w:t>
      </w:r>
    </w:p>
    <w:p>
      <w:pPr>
        <w:spacing w:after="120"/>
        <w:jc w:val="both"/>
      </w:pPr>
      <w:r>
        <w:rPr>
          <w:rFonts w:ascii="Arial" w:cs="Arial" w:eastAsia="Arial" w:hAnsi="Arial"/>
          <w:sz w:val="24"/>
          <w:szCs w:val="24"/>
        </w:rPr>
        <w:t xml:space="preserve">11. При представлении Декларации по почте Декларация направляется в налоговый орган заказным письмом с уведомлением в двух экземплярах.</w:t>
      </w:r>
    </w:p>
    <w:p>
      <w:pPr>
        <w:spacing w:after="120"/>
        <w:jc w:val="both"/>
      </w:pPr>
      <w:r>
        <w:rPr>
          <w:rFonts w:ascii="Arial" w:cs="Arial" w:eastAsia="Arial" w:hAnsi="Arial"/>
          <w:sz w:val="24"/>
          <w:szCs w:val="24"/>
        </w:rPr>
        <w:t xml:space="preserve">Налогоплательщик получает уведомление почтовой связи о доставке заказного письма, которое является подтверждением представления Декларации.</w:t>
      </w:r>
    </w:p>
    <w:p>
      <w:pPr>
        <w:spacing w:after="120"/>
        <w:jc w:val="both"/>
      </w:pPr>
      <w:r>
        <w:rPr>
          <w:rFonts w:ascii="Arial" w:cs="Arial" w:eastAsia="Arial" w:hAnsi="Arial"/>
          <w:sz w:val="24"/>
          <w:szCs w:val="24"/>
        </w:rPr>
        <w:t xml:space="preserve">12. При представлении Декларации в электронной форме налогоплательщик получает по электронной почте уведомление о принятии Декларации налоговым органом.</w:t>
      </w:r>
    </w:p>
    <w:p>
      <w:pPr>
        <w:spacing w:after="120"/>
        <w:jc w:val="both"/>
      </w:pPr>
      <w:r>
        <w:rPr>
          <w:rFonts w:ascii="Arial" w:cs="Arial" w:eastAsia="Arial" w:hAnsi="Arial"/>
          <w:sz w:val="24"/>
          <w:szCs w:val="24"/>
        </w:rPr>
        <w:t xml:space="preserve">Примечание: Декларация, поступившая в налоговый орган в электронной форме, имеет юридическую силу, а налогоплательщик, представивший Декларацию в электронной форме, считается сдавшим отчетность и освобождается от дублирования ее на бумажном носителе.</w:t>
      </w:r>
    </w:p>
    <w:p>
      <w:pPr>
        <w:spacing w:after="120"/>
        <w:jc w:val="both"/>
      </w:pPr>
      <w:r>
        <w:rPr>
          <w:rFonts w:ascii="Arial" w:cs="Arial" w:eastAsia="Arial" w:hAnsi="Arial"/>
          <w:sz w:val="24"/>
          <w:szCs w:val="24"/>
        </w:rPr>
        <w:t xml:space="preserve">Факт передачи отчета будет признан, если у налогоплательщика имеются следующие электронные сообщения:</w:t>
      </w:r>
    </w:p>
    <w:p>
      <w:pPr>
        <w:spacing w:after="120"/>
        <w:jc w:val="both"/>
      </w:pPr>
      <w:r>
        <w:rPr>
          <w:rFonts w:ascii="Arial" w:cs="Arial" w:eastAsia="Arial" w:hAnsi="Arial"/>
          <w:sz w:val="24"/>
          <w:szCs w:val="24"/>
        </w:rPr>
        <w:t xml:space="preserve">- подтверждение специализированного оператора сервиса (электронный документ, содержащий время и дату отправки налоговой отчетности налогоплательщиком);</w:t>
      </w:r>
    </w:p>
    <w:p>
      <w:pPr>
        <w:spacing w:after="120"/>
        <w:jc w:val="both"/>
      </w:pPr>
      <w:r>
        <w:rPr>
          <w:rFonts w:ascii="Arial" w:cs="Arial" w:eastAsia="Arial" w:hAnsi="Arial"/>
          <w:sz w:val="24"/>
          <w:szCs w:val="24"/>
        </w:rPr>
        <w:t xml:space="preserve">- подтверждение налоговой службы о получении отчетности (протокол входного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Заполнение формы Единой налоговой декларации организации (FORM STI - 101)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В ячейке 001 ставится отметка в виде знака «Х»:</w:t>
      </w:r>
    </w:p>
    <w:p>
      <w:pPr>
        <w:spacing w:after="120"/>
        <w:jc w:val="both"/>
      </w:pPr>
      <w:r>
        <w:rPr>
          <w:rFonts w:ascii="Arial" w:cs="Arial" w:eastAsia="Arial" w:hAnsi="Arial"/>
          <w:sz w:val="24"/>
          <w:szCs w:val="24"/>
        </w:rPr>
        <w:t xml:space="preserve">в случае, если Декларация сдается впервые за календарный год, отметка ставится в ячейке «Первоначальная»;</w:t>
      </w:r>
    </w:p>
    <w:p>
      <w:pPr>
        <w:spacing w:after="120"/>
        <w:jc w:val="both"/>
      </w:pPr>
      <w:r>
        <w:rPr>
          <w:rFonts w:ascii="Arial" w:cs="Arial" w:eastAsia="Arial" w:hAnsi="Arial"/>
          <w:sz w:val="24"/>
          <w:szCs w:val="24"/>
        </w:rPr>
        <w:t xml:space="preserve">в случае, если ранее за этот же налоговый период Декларация уже сдавалась, но были обнаружены какие-то неточности или ошибки, которые исправлены в представляемой Декларации, отметка ставится в ячейке «Уточненная»;</w:t>
      </w:r>
    </w:p>
    <w:p>
      <w:pPr>
        <w:spacing w:after="120"/>
        <w:jc w:val="both"/>
      </w:pPr>
      <w:r>
        <w:rPr>
          <w:rFonts w:ascii="Arial" w:cs="Arial" w:eastAsia="Arial" w:hAnsi="Arial"/>
          <w:sz w:val="24"/>
          <w:szCs w:val="24"/>
        </w:rPr>
        <w:t xml:space="preserve">в случае, если Декларация сдается в связи с ликвидацией организации, отметка ставится в ячейке «Ликвидационная».</w:t>
      </w:r>
    </w:p>
    <w:p>
      <w:pPr>
        <w:spacing w:after="120"/>
        <w:jc w:val="both"/>
      </w:pPr>
      <w:r>
        <w:rPr>
          <w:rFonts w:ascii="Arial" w:cs="Arial" w:eastAsia="Arial" w:hAnsi="Arial"/>
          <w:sz w:val="24"/>
          <w:szCs w:val="24"/>
        </w:rPr>
        <w:t xml:space="preserve">14. В ячейке 102 указывается ИНН налогоплательщика.</w:t>
      </w:r>
    </w:p>
    <w:p>
      <w:pPr>
        <w:spacing w:after="120"/>
        <w:jc w:val="both"/>
      </w:pPr>
      <w:r>
        <w:rPr>
          <w:rFonts w:ascii="Arial" w:cs="Arial" w:eastAsia="Arial" w:hAnsi="Arial"/>
          <w:sz w:val="24"/>
          <w:szCs w:val="24"/>
        </w:rPr>
        <w:t xml:space="preserve">15. В ячейке 103 указывается полное название организации в соответствии с учредительными документами.</w:t>
      </w:r>
    </w:p>
    <w:p>
      <w:pPr>
        <w:spacing w:after="120"/>
        <w:jc w:val="both"/>
      </w:pPr>
      <w:r>
        <w:rPr>
          <w:rFonts w:ascii="Arial" w:cs="Arial" w:eastAsia="Arial" w:hAnsi="Arial"/>
          <w:sz w:val="24"/>
          <w:szCs w:val="24"/>
        </w:rPr>
        <w:t xml:space="preserve">16. В ячейке 104 указываются код и наименование налогового органа по месту налоговой регистрации организации.</w:t>
      </w:r>
    </w:p>
    <w:p>
      <w:pPr>
        <w:spacing w:after="120"/>
        <w:jc w:val="both"/>
      </w:pPr>
      <w:r>
        <w:rPr>
          <w:rFonts w:ascii="Arial" w:cs="Arial" w:eastAsia="Arial" w:hAnsi="Arial"/>
          <w:sz w:val="24"/>
          <w:szCs w:val="24"/>
        </w:rPr>
        <w:t xml:space="preserve">17. В ячейке 107 указывается код ОКПО, присвоенный органом статистики при регистрации организации.</w:t>
      </w:r>
    </w:p>
    <w:p>
      <w:pPr>
        <w:spacing w:after="120"/>
        <w:jc w:val="both"/>
      </w:pPr>
      <w:r>
        <w:rPr>
          <w:rFonts w:ascii="Arial" w:cs="Arial" w:eastAsia="Arial" w:hAnsi="Arial"/>
          <w:sz w:val="24"/>
          <w:szCs w:val="24"/>
        </w:rPr>
        <w:t xml:space="preserve">18. В ячейке 112 указывается индекс почтового отделения по месту фактического местонахождения организации.</w:t>
      </w:r>
    </w:p>
    <w:p>
      <w:pPr>
        <w:spacing w:after="120"/>
        <w:jc w:val="both"/>
      </w:pPr>
      <w:r>
        <w:rPr>
          <w:rFonts w:ascii="Arial" w:cs="Arial" w:eastAsia="Arial" w:hAnsi="Arial"/>
          <w:sz w:val="24"/>
          <w:szCs w:val="24"/>
        </w:rPr>
        <w:t xml:space="preserve">19. В ячейке 113 указывается название населенного пункта, в котором фактически находится налогоплательщик (область, город, село, поселок, аил и т.д.).</w:t>
      </w:r>
    </w:p>
    <w:p>
      <w:pPr>
        <w:spacing w:after="120"/>
        <w:jc w:val="both"/>
      </w:pPr>
      <w:r>
        <w:rPr>
          <w:rFonts w:ascii="Arial" w:cs="Arial" w:eastAsia="Arial" w:hAnsi="Arial"/>
          <w:sz w:val="24"/>
          <w:szCs w:val="24"/>
        </w:rPr>
        <w:t xml:space="preserve">20. В ячейке 114 указывается адрес фактического местонахождения организации (название улицы, номер дома, офиса, квартиры).</w:t>
      </w:r>
    </w:p>
    <w:p>
      <w:pPr>
        <w:spacing w:after="120"/>
        <w:jc w:val="both"/>
      </w:pPr>
      <w:r>
        <w:rPr>
          <w:rFonts w:ascii="Arial" w:cs="Arial" w:eastAsia="Arial" w:hAnsi="Arial"/>
          <w:sz w:val="24"/>
          <w:szCs w:val="24"/>
        </w:rPr>
        <w:t xml:space="preserve">21. В ячейке 115 указывается номер телефона организации.</w:t>
      </w:r>
    </w:p>
    <w:p>
      <w:pPr>
        <w:spacing w:after="120"/>
        <w:jc w:val="both"/>
      </w:pPr>
      <w:r>
        <w:rPr>
          <w:rFonts w:ascii="Arial" w:cs="Arial" w:eastAsia="Arial" w:hAnsi="Arial"/>
          <w:sz w:val="24"/>
          <w:szCs w:val="24"/>
        </w:rPr>
        <w:t xml:space="preserve">22. В ячейке 116 указывается адрес электронной почты организации.</w:t>
      </w:r>
    </w:p>
    <w:p>
      <w:pPr>
        <w:spacing w:after="120"/>
        <w:jc w:val="both"/>
      </w:pPr>
      <w:r>
        <w:rPr>
          <w:rFonts w:ascii="Arial" w:cs="Arial" w:eastAsia="Arial" w:hAnsi="Arial"/>
          <w:sz w:val="24"/>
          <w:szCs w:val="24"/>
        </w:rPr>
        <w:t xml:space="preserve">23. В ячейке 201 указывается дата начала отчетного налогового периода для организации:</w:t>
      </w:r>
    </w:p>
    <w:p>
      <w:pPr>
        <w:spacing w:after="120"/>
        <w:jc w:val="both"/>
      </w:pPr>
      <w:r>
        <w:rPr>
          <w:rFonts w:ascii="Arial" w:cs="Arial" w:eastAsia="Arial" w:hAnsi="Arial"/>
          <w:sz w:val="24"/>
          <w:szCs w:val="24"/>
        </w:rPr>
        <w:t xml:space="preserve">а) если налогоплательщик осуществлял деятельность в предыдущие годы, указывается дата с начала отчетного года: 01/01/20___;</w:t>
      </w:r>
    </w:p>
    <w:p>
      <w:pPr>
        <w:spacing w:after="120"/>
        <w:jc w:val="both"/>
      </w:pPr>
      <w:r>
        <w:rPr>
          <w:rFonts w:ascii="Arial" w:cs="Arial" w:eastAsia="Arial" w:hAnsi="Arial"/>
          <w:sz w:val="24"/>
          <w:szCs w:val="24"/>
        </w:rPr>
        <w:t xml:space="preserve">б) если налогоплательщик был зарегистрирован в качестве налогоплательщика в отчетном году, указывается дата регистрации организации в налоговом органе.</w:t>
      </w:r>
    </w:p>
    <w:p>
      <w:pPr>
        <w:spacing w:after="120"/>
        <w:jc w:val="both"/>
      </w:pPr>
      <w:r>
        <w:rPr>
          <w:rFonts w:ascii="Arial" w:cs="Arial" w:eastAsia="Arial" w:hAnsi="Arial"/>
          <w:sz w:val="24"/>
          <w:szCs w:val="24"/>
        </w:rPr>
        <w:t xml:space="preserve">24. В ячейке 202 указывается дата окончания отчетного налогового периода:</w:t>
      </w:r>
    </w:p>
    <w:p>
      <w:pPr>
        <w:spacing w:after="120"/>
        <w:jc w:val="both"/>
      </w:pPr>
      <w:r>
        <w:rPr>
          <w:rFonts w:ascii="Arial" w:cs="Arial" w:eastAsia="Arial" w:hAnsi="Arial"/>
          <w:sz w:val="24"/>
          <w:szCs w:val="24"/>
        </w:rPr>
        <w:t xml:space="preserve">а) если налогоплательщик осуществлял деятельность в течение отчетного календарного года, указывается дата окончания отчетного года: 31/12/20___;</w:t>
      </w:r>
    </w:p>
    <w:p>
      <w:pPr>
        <w:spacing w:after="120"/>
        <w:jc w:val="both"/>
      </w:pPr>
      <w:r>
        <w:rPr>
          <w:rFonts w:ascii="Arial" w:cs="Arial" w:eastAsia="Arial" w:hAnsi="Arial"/>
          <w:sz w:val="24"/>
          <w:szCs w:val="24"/>
        </w:rPr>
        <w:t xml:space="preserve">б) в случае, если налогоплательщик ликвидирован или прошел процедуры реорганизации, реструктуризации до конца календарного года, датой окончания налогового периода для него является период времени от начала года до дня завершения ликвидации, реорганизации, реструктуризации. Днем завершения ликвидации, реструктуризации в целях представления Декларации признается дата утверждения ликвидационного баланса с нулевыми показателями. Декларация за последний налоговый период предоставляется до конца месяца, следующего за месяцем завершения ликвидации, реорганизации, реструктуризации.</w:t>
      </w:r>
    </w:p>
    <w:p>
      <w:pPr>
        <w:spacing w:after="120"/>
        <w:jc w:val="both"/>
      </w:pPr>
      <w:r>
        <w:rPr>
          <w:rFonts w:ascii="Arial" w:cs="Arial" w:eastAsia="Arial" w:hAnsi="Arial"/>
          <w:sz w:val="24"/>
          <w:szCs w:val="24"/>
        </w:rPr>
        <w:t xml:space="preserve">Показатели ячеек 112, 113, 114, 115 и 116 заполняются на дату представления Декларации.</w:t>
      </w:r>
    </w:p>
    <w:p>
      <w:pPr>
        <w:spacing w:after="120"/>
        <w:jc w:val="both"/>
      </w:pPr>
      <w:r>
        <w:rPr>
          <w:rFonts w:ascii="Arial" w:cs="Arial" w:eastAsia="Arial" w:hAnsi="Arial"/>
          <w:sz w:val="24"/>
          <w:szCs w:val="24"/>
        </w:rPr>
        <w:t xml:space="preserve">25. В нижней части Раздела 1 отмечаются знаком «Х»:</w:t>
      </w:r>
    </w:p>
    <w:p>
      <w:pPr>
        <w:spacing w:after="120"/>
        <w:jc w:val="both"/>
      </w:pPr>
      <w:r>
        <w:rPr>
          <w:rFonts w:ascii="Arial" w:cs="Arial" w:eastAsia="Arial" w:hAnsi="Arial"/>
          <w:sz w:val="24"/>
          <w:szCs w:val="24"/>
        </w:rPr>
        <w:t xml:space="preserve">1) метод ведения бухгалтерского учета;</w:t>
      </w:r>
    </w:p>
    <w:p>
      <w:pPr>
        <w:spacing w:after="120"/>
        <w:jc w:val="both"/>
      </w:pPr>
      <w:r>
        <w:rPr>
          <w:rFonts w:ascii="Arial" w:cs="Arial" w:eastAsia="Arial" w:hAnsi="Arial"/>
          <w:sz w:val="24"/>
          <w:szCs w:val="24"/>
        </w:rPr>
        <w:t xml:space="preserve">2) порядок исчисления налоговой базы налога на прибыль;</w:t>
      </w:r>
    </w:p>
    <w:p>
      <w:pPr>
        <w:spacing w:after="120"/>
        <w:jc w:val="both"/>
      </w:pPr>
      <w:r>
        <w:rPr>
          <w:rFonts w:ascii="Arial" w:cs="Arial" w:eastAsia="Arial" w:hAnsi="Arial"/>
          <w:sz w:val="24"/>
          <w:szCs w:val="24"/>
        </w:rPr>
        <w:t xml:space="preserve">3) наличие и/или отсутствие в организации утвержденной учетной политики.</w:t>
      </w:r>
    </w:p>
    <w:p>
      <w:pPr>
        <w:spacing w:after="120"/>
        <w:jc w:val="both"/>
      </w:pPr>
      <w:r>
        <w:rPr>
          <w:rFonts w:ascii="Arial" w:cs="Arial" w:eastAsia="Arial" w:hAnsi="Arial"/>
          <w:sz w:val="24"/>
          <w:szCs w:val="24"/>
        </w:rPr>
        <w:t xml:space="preserve">Примечание: налогоплательщик отмечает знаком «Х» ячейку, соответствующую примененному им в отчетном периоде методу ведения учета и исчисления налоговой базы налога на прибыль, а также подтверждающему наличие разработанной и утвержденной в установленном порядке учетной политики.</w:t>
      </w:r>
    </w:p>
    <w:p>
      <w:pPr>
        <w:spacing w:after="120"/>
        <w:jc w:val="both"/>
      </w:pPr>
      <w:r>
        <w:rPr>
          <w:rFonts w:ascii="Arial" w:cs="Arial" w:eastAsia="Arial" w:hAnsi="Arial"/>
          <w:sz w:val="24"/>
          <w:szCs w:val="24"/>
        </w:rPr>
        <w:t xml:space="preserve">26. Для заполнения Декларации сначала необходимо заполнить те приложения к Декларации, по которым у организации имеются показатели.</w:t>
      </w:r>
    </w:p>
    <w:p>
      <w:pPr>
        <w:spacing w:after="120"/>
        <w:jc w:val="both"/>
      </w:pPr>
      <w:r>
        <w:rPr>
          <w:rFonts w:ascii="Arial" w:cs="Arial" w:eastAsia="Arial" w:hAnsi="Arial"/>
          <w:sz w:val="24"/>
          <w:szCs w:val="24"/>
        </w:rPr>
        <w:t xml:space="preserve">Заполнение Декларации начинается с переноса показателей из заполненных приложений и завершается расчетом показателей Декларации.</w:t>
      </w:r>
    </w:p>
    <w:p>
      <w:pPr>
        <w:spacing w:after="120"/>
        <w:jc w:val="both"/>
      </w:pPr>
      <w:r>
        <w:rPr>
          <w:rFonts w:ascii="Arial" w:cs="Arial" w:eastAsia="Arial" w:hAnsi="Arial"/>
          <w:sz w:val="24"/>
          <w:szCs w:val="24"/>
        </w:rPr>
        <w:t xml:space="preserve">27. В ячейку 050 переносится общая сумма совокупного годового дохода, указанная в ячейке 176 приложения 1.</w:t>
      </w:r>
    </w:p>
    <w:p>
      <w:pPr>
        <w:spacing w:after="120"/>
        <w:jc w:val="both"/>
      </w:pPr>
      <w:r>
        <w:rPr>
          <w:rFonts w:ascii="Arial" w:cs="Arial" w:eastAsia="Arial" w:hAnsi="Arial"/>
          <w:sz w:val="24"/>
          <w:szCs w:val="24"/>
        </w:rPr>
        <w:t xml:space="preserve">28. В ячейку 051 переносится общая сумма расходов, подлежащих вычету, указанная в ячейке 263 приложения 2.</w:t>
      </w:r>
    </w:p>
    <w:p>
      <w:pPr>
        <w:spacing w:after="120"/>
        <w:jc w:val="both"/>
      </w:pPr>
      <w:r>
        <w:rPr>
          <w:rFonts w:ascii="Arial" w:cs="Arial" w:eastAsia="Arial" w:hAnsi="Arial"/>
          <w:sz w:val="24"/>
          <w:szCs w:val="24"/>
        </w:rPr>
        <w:t xml:space="preserve">29. В ячейке 052 указывается прибыль или убыток (арифметическая разница значений ячеек: 052 = 050 - 051).</w:t>
      </w:r>
    </w:p>
    <w:p>
      <w:pPr>
        <w:spacing w:after="120"/>
        <w:jc w:val="both"/>
      </w:pPr>
      <w:r>
        <w:rPr>
          <w:rFonts w:ascii="Arial" w:cs="Arial" w:eastAsia="Arial" w:hAnsi="Arial"/>
          <w:sz w:val="24"/>
          <w:szCs w:val="24"/>
        </w:rPr>
        <w:t xml:space="preserve">Примечание: арифметическая разница может быть положительной или отрицательной в зависимости от того, получил ли налогоплательщик прибыль или убыток, или равна нулю.</w:t>
      </w:r>
    </w:p>
    <w:p>
      <w:pPr>
        <w:spacing w:after="120"/>
        <w:jc w:val="both"/>
      </w:pPr>
      <w:r>
        <w:rPr>
          <w:rFonts w:ascii="Arial" w:cs="Arial" w:eastAsia="Arial" w:hAnsi="Arial"/>
          <w:sz w:val="24"/>
          <w:szCs w:val="24"/>
        </w:rPr>
        <w:t xml:space="preserve">Если получен убыток, в специальной ячейке, расположенной слева перед ячейкой 052, ставится знак минус «-».</w:t>
      </w:r>
    </w:p>
    <w:p>
      <w:pPr>
        <w:spacing w:after="120"/>
        <w:jc w:val="both"/>
      </w:pPr>
      <w:r>
        <w:rPr>
          <w:rFonts w:ascii="Arial" w:cs="Arial" w:eastAsia="Arial" w:hAnsi="Arial"/>
          <w:sz w:val="24"/>
          <w:szCs w:val="24"/>
        </w:rPr>
        <w:t xml:space="preserve">Если получена прибыль, в специальной ячейке, расположенной слева перед ячейкой 052, знак не ставится.</w:t>
      </w:r>
    </w:p>
    <w:p>
      <w:pPr>
        <w:spacing w:after="120"/>
        <w:jc w:val="both"/>
      </w:pPr>
      <w:r>
        <w:rPr>
          <w:rFonts w:ascii="Arial" w:cs="Arial" w:eastAsia="Arial" w:hAnsi="Arial"/>
          <w:sz w:val="24"/>
          <w:szCs w:val="24"/>
        </w:rPr>
        <w:t xml:space="preserve">30. В ячейке 053 указывается общая сумма налоговых льгот, предусмотренных в ячейке 460 приложения 4. Налогоплательщик, не имеющий право на льготы, указывает в данной ячейке цифру «0».</w:t>
      </w:r>
    </w:p>
    <w:p>
      <w:pPr>
        <w:spacing w:after="120"/>
        <w:jc w:val="both"/>
      </w:pPr>
      <w:r>
        <w:rPr>
          <w:rFonts w:ascii="Arial" w:cs="Arial" w:eastAsia="Arial" w:hAnsi="Arial"/>
          <w:sz w:val="24"/>
          <w:szCs w:val="24"/>
        </w:rPr>
        <w:t xml:space="preserve">31. В ячейке 054 указывается общая сумма прибыли за вычетом прибыли, освобожденной от налогообложения (арифметическая разница значений ячеек: 054 = 052 - 053).</w:t>
      </w:r>
    </w:p>
    <w:p>
      <w:pPr>
        <w:spacing w:after="120"/>
        <w:jc w:val="both"/>
      </w:pPr>
      <w:r>
        <w:rPr>
          <w:rFonts w:ascii="Arial" w:cs="Arial" w:eastAsia="Arial" w:hAnsi="Arial"/>
          <w:sz w:val="24"/>
          <w:szCs w:val="24"/>
        </w:rPr>
        <w:t xml:space="preserve">Примечание: арифметическая разница может быть положительной, отрицательной или равной нулю. Если получен положительный результат, его значение отражается в данной ячейке. Если получен отрицательный результат или результат равен нулю, то в данной ячейке и в последующих ячейках 055 - 065 указывается цифра «0».</w:t>
      </w:r>
    </w:p>
    <w:p>
      <w:pPr>
        <w:spacing w:after="120"/>
        <w:jc w:val="both"/>
      </w:pPr>
      <w:r>
        <w:rPr>
          <w:rFonts w:ascii="Arial" w:cs="Arial" w:eastAsia="Arial" w:hAnsi="Arial"/>
          <w:sz w:val="24"/>
          <w:szCs w:val="24"/>
        </w:rPr>
        <w:t xml:space="preserve">32. В ячейке 055 указывается сумма убытка, подлежащая переносу в отчетный налоговый период из предыдущих налоговых периодов. В данной ячейке отражается убыток, не погашенный прибылью прошлых лет в соответствии со статьями 206 или 223-8 Налогового кодекса, которые предусматривают перенос убытка на последующие годы, но не более чем на 5 лет с момента возникновения убытка. Данная ячейка может быть заполнена только при наличии прибыли, которая указана в ячейке 054 Декларации, и только в пределах суммы прибыли, отраженной в этой ячейке. Если в предыдущие годы убытков не было или если в ячейке 052 отражен убыток, то в ячейке 055 указывается цифра «0».</w:t>
      </w:r>
    </w:p>
    <w:p>
      <w:pPr>
        <w:spacing w:after="120"/>
        <w:jc w:val="both"/>
      </w:pPr>
      <w:r>
        <w:rPr>
          <w:rFonts w:ascii="Arial" w:cs="Arial" w:eastAsia="Arial" w:hAnsi="Arial"/>
          <w:sz w:val="24"/>
          <w:szCs w:val="24"/>
        </w:rPr>
        <w:t xml:space="preserve">Пример: убыток предыдущего года составил 30 000 сомов, а прибыль, отраженная в ячейке 054, равна 20 000 сомов. В Декларацию можно включить сумму 20 000 сомов, оставшаяся сумма убытка в размере 10 000 сомов может быть включена в Декларации последующих лет, но не более 5 лет с момента образования убытка. Например, если убыток образовался по итогам деятельности за 2013 год, то налогоплательщик имеет право отнести его на вычет при расчете облагаемой прибыли за 2014, 2015, 2016, 2017 и 2018 год. Налогоплательщик не имеет право отнести на вычеты данный убыток при расчете облагаемой прибыли за 2019 год и последующие годы.</w:t>
      </w:r>
    </w:p>
    <w:p>
      <w:pPr>
        <w:spacing w:after="120"/>
        <w:jc w:val="both"/>
      </w:pPr>
      <w:r>
        <w:rPr>
          <w:rFonts w:ascii="Arial" w:cs="Arial" w:eastAsia="Arial" w:hAnsi="Arial"/>
          <w:sz w:val="24"/>
          <w:szCs w:val="24"/>
        </w:rPr>
        <w:t xml:space="preserve">33. Ячейка 056 заполняется организацией, ведущей деятельность по добыче полезных ископаемых. В данной ячейке указывается сумма уменьшения на 15 процентов налогооблагаемой прибыли горнодобывающего предприятия, резервируемая в специальном фонде предприятия в соответствии с частью 3 статьи 197 Налогового кодекса.</w:t>
      </w:r>
    </w:p>
    <w:p>
      <w:pPr>
        <w:spacing w:after="120"/>
        <w:jc w:val="both"/>
      </w:pPr>
      <w:r>
        <w:rPr>
          <w:rFonts w:ascii="Arial" w:cs="Arial" w:eastAsia="Arial" w:hAnsi="Arial"/>
          <w:sz w:val="24"/>
          <w:szCs w:val="24"/>
        </w:rPr>
        <w:t xml:space="preserve">Примечание: ячейка 056 заполняется при наличии прибыли у организации, которая отражена в ячейке 054 Декларации. В случае, если в ячейке 054 отражен нулевой результат или убыток, в ячейке 056 также указывается цифра «0».</w:t>
      </w:r>
    </w:p>
    <w:p>
      <w:pPr>
        <w:spacing w:after="120"/>
        <w:jc w:val="both"/>
      </w:pPr>
      <w:r>
        <w:rPr>
          <w:rFonts w:ascii="Arial" w:cs="Arial" w:eastAsia="Arial" w:hAnsi="Arial"/>
          <w:sz w:val="24"/>
          <w:szCs w:val="24"/>
        </w:rPr>
        <w:t xml:space="preserve">34. В ячейке 057 указывается сумма налогооблагаемой прибыли или убыток:</w:t>
      </w:r>
    </w:p>
    <w:p>
      <w:pPr>
        <w:spacing w:after="120"/>
        <w:jc w:val="both"/>
      </w:pPr>
      <w:r>
        <w:rPr>
          <w:rFonts w:ascii="Arial" w:cs="Arial" w:eastAsia="Arial" w:hAnsi="Arial"/>
          <w:sz w:val="24"/>
          <w:szCs w:val="24"/>
        </w:rPr>
        <w:t xml:space="preserve">в случае, если налогоплательщик получил прибыль, значение ячейки 057 определяется как арифметическая разница значений ячеек: 057 = 054 -</w:t>
      </w:r>
    </w:p>
    <w:p>
      <w:pPr>
        <w:spacing w:after="120"/>
        <w:jc w:val="both"/>
      </w:pPr>
      <w:r>
        <w:rPr>
          <w:rFonts w:ascii="Arial" w:cs="Arial" w:eastAsia="Arial" w:hAnsi="Arial"/>
          <w:sz w:val="24"/>
          <w:szCs w:val="24"/>
        </w:rPr>
        <w:t xml:space="preserve">055 - 056;</w:t>
      </w:r>
    </w:p>
    <w:p>
      <w:pPr>
        <w:spacing w:after="120"/>
        <w:jc w:val="both"/>
      </w:pPr>
      <w:r>
        <w:rPr>
          <w:rFonts w:ascii="Arial" w:cs="Arial" w:eastAsia="Arial" w:hAnsi="Arial"/>
          <w:sz w:val="24"/>
          <w:szCs w:val="24"/>
        </w:rPr>
        <w:t xml:space="preserve">- в случае, если налогоплательщик получил убыток, то в ячейку 057 переносится значение ячейки 052 и в специальной ячейке, расположенной слева перед данной ячейкой, указывается знак минус «-».</w:t>
      </w:r>
    </w:p>
    <w:p>
      <w:pPr>
        <w:spacing w:after="120"/>
        <w:jc w:val="both"/>
      </w:pPr>
      <w:r>
        <w:rPr>
          <w:rFonts w:ascii="Arial" w:cs="Arial" w:eastAsia="Arial" w:hAnsi="Arial"/>
          <w:sz w:val="24"/>
          <w:szCs w:val="24"/>
        </w:rPr>
        <w:t xml:space="preserve">35. Если значение ячейки 057 Декларации отрицательное, оно переносится в ячейку 058.</w:t>
      </w:r>
    </w:p>
    <w:p>
      <w:pPr>
        <w:spacing w:after="120"/>
        <w:jc w:val="both"/>
      </w:pPr>
      <w:r>
        <w:rPr>
          <w:rFonts w:ascii="Arial" w:cs="Arial" w:eastAsia="Arial" w:hAnsi="Arial"/>
          <w:sz w:val="24"/>
          <w:szCs w:val="24"/>
        </w:rPr>
        <w:t xml:space="preserve">36. В ячейке 059 указывается ставка налога на прибыль в соответствии со статьей 213 Налогового кодекса.</w:t>
      </w:r>
    </w:p>
    <w:p>
      <w:pPr>
        <w:spacing w:after="120"/>
        <w:jc w:val="both"/>
      </w:pPr>
      <w:r>
        <w:rPr>
          <w:rFonts w:ascii="Arial" w:cs="Arial" w:eastAsia="Arial" w:hAnsi="Arial"/>
          <w:sz w:val="24"/>
          <w:szCs w:val="24"/>
        </w:rPr>
        <w:t xml:space="preserve">Примечание: ставка налога на прибыль налогоплательщика, осуществляющего деятельность по добыче и реализации золотосодержащей руды, золотосодержащего концентрата, золотого сплава и аффинированного золота, на период с 1 января 2013 года установлена в размере 0 процентов. По данному виду деятельности налогоплательщик ведет раздельный учет, с доходов от этой деятельности уплачивается налог на доходы в соответствии со статьей 221-1 Налогового кодекса. Показатели по данному виду деятельности указываются в приложении 8. Показатели по другим видам деятельности указываются в приложениях 1, 2, 3 и 4 и отражаются в Декларации.</w:t>
      </w:r>
    </w:p>
    <w:p>
      <w:pPr>
        <w:spacing w:after="120"/>
        <w:jc w:val="both"/>
      </w:pPr>
      <w:r>
        <w:rPr>
          <w:rFonts w:ascii="Arial" w:cs="Arial" w:eastAsia="Arial" w:hAnsi="Arial"/>
          <w:sz w:val="24"/>
          <w:szCs w:val="24"/>
        </w:rPr>
        <w:t xml:space="preserve">37. В ячейке 060 указывается сумма налога на прибыль, исчисляемая по следующей формуле: (значение ячейки 057 х значение ячейки 059)/ 100 процентов.</w:t>
      </w:r>
    </w:p>
    <w:p>
      <w:pPr>
        <w:spacing w:after="120"/>
        <w:jc w:val="both"/>
      </w:pPr>
      <w:r>
        <w:rPr>
          <w:rFonts w:ascii="Arial" w:cs="Arial" w:eastAsia="Arial" w:hAnsi="Arial"/>
          <w:sz w:val="24"/>
          <w:szCs w:val="24"/>
        </w:rPr>
        <w:t xml:space="preserve">38. В ячейке 061 указывается итог сумм, начисленных в течение отчетного года согласно расчетам по предварительной сумме налога на прибыль.</w:t>
      </w:r>
    </w:p>
    <w:p>
      <w:pPr>
        <w:spacing w:after="120"/>
        <w:jc w:val="both"/>
      </w:pPr>
      <w:r>
        <w:rPr>
          <w:rFonts w:ascii="Arial" w:cs="Arial" w:eastAsia="Arial" w:hAnsi="Arial"/>
          <w:sz w:val="24"/>
          <w:szCs w:val="24"/>
        </w:rPr>
        <w:t xml:space="preserve">39. В ячейке 062 указывается сумма налога на прибыль, уплаченная в иностранном государстве и подлежащая зачету. Размер зачитываемых сумм не должен превышать сумму налога, которая была бы уплачена в Кыргызской Республике по ставкам, действующим на ее территории.</w:t>
      </w:r>
    </w:p>
    <w:p>
      <w:pPr>
        <w:spacing w:after="120"/>
        <w:jc w:val="both"/>
      </w:pPr>
      <w:r>
        <w:rPr>
          <w:rFonts w:ascii="Arial" w:cs="Arial" w:eastAsia="Arial" w:hAnsi="Arial"/>
          <w:sz w:val="24"/>
          <w:szCs w:val="24"/>
        </w:rPr>
        <w:t xml:space="preserve">Примечание: сумма налога, уплаченная налогоплательщиком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120"/>
        <w:jc w:val="both"/>
      </w:pPr>
      <w:r>
        <w:rPr>
          <w:rFonts w:ascii="Arial" w:cs="Arial" w:eastAsia="Arial" w:hAnsi="Arial"/>
          <w:sz w:val="24"/>
          <w:szCs w:val="24"/>
        </w:rPr>
        <w:t xml:space="preserve">Для получения зачета налогоплательщик подает заявление в налоговый орган в соответствии с установленной процедурой, с приложением копий подтверждающих документов:</w:t>
      </w:r>
    </w:p>
    <w:p>
      <w:pPr>
        <w:spacing w:after="120"/>
        <w:jc w:val="both"/>
      </w:pPr>
      <w:r>
        <w:rPr>
          <w:rFonts w:ascii="Arial" w:cs="Arial" w:eastAsia="Arial" w:hAnsi="Arial"/>
          <w:sz w:val="24"/>
          <w:szCs w:val="24"/>
        </w:rPr>
        <w:t xml:space="preserve">1) о суммах полученных доходов из источников в иностранном государстве и уплаченных налогах, заверенных налоговым органом иностранного государства;</w:t>
      </w:r>
    </w:p>
    <w:p>
      <w:pPr>
        <w:spacing w:after="120"/>
        <w:jc w:val="both"/>
      </w:pPr>
      <w:r>
        <w:rPr>
          <w:rFonts w:ascii="Arial" w:cs="Arial" w:eastAsia="Arial" w:hAnsi="Arial"/>
          <w:sz w:val="24"/>
          <w:szCs w:val="24"/>
        </w:rPr>
        <w:t xml:space="preserve">2) об уплате налога.</w:t>
      </w:r>
    </w:p>
    <w:p>
      <w:pPr>
        <w:spacing w:after="120"/>
        <w:jc w:val="both"/>
      </w:pPr>
      <w:r>
        <w:rPr>
          <w:rFonts w:ascii="Arial" w:cs="Arial" w:eastAsia="Arial" w:hAnsi="Arial"/>
          <w:sz w:val="24"/>
          <w:szCs w:val="24"/>
        </w:rPr>
        <w:t xml:space="preserve">Пример: организация получила доход в сумме, эквивалентной 500 тыс. сомов, в иностранном государстве, с которым Кыргызская Республика подписала соглашение об устранении двойного налогообложения. При выплате дохода у организации удержали налог на полученный доход в размере, эквивалентном 80 тыс. сомов. При заполнении Декларации организация может указать в качестве налога, уплаченного в иностранном государстве, только сумму, равную 50 тыс. сомов, исчисленной по формуле: 500 х 10 % = 50.</w:t>
      </w:r>
    </w:p>
    <w:p>
      <w:pPr>
        <w:spacing w:after="120"/>
        <w:jc w:val="both"/>
      </w:pPr>
      <w:r>
        <w:rPr>
          <w:rFonts w:ascii="Arial" w:cs="Arial" w:eastAsia="Arial" w:hAnsi="Arial"/>
          <w:sz w:val="24"/>
          <w:szCs w:val="24"/>
        </w:rPr>
        <w:t xml:space="preserve">40. В ячейке 063 указывается остаток суммы налога на прибыль в виде положительной, нулевой или отрицательной арифметической разницы значений ячеек: 063 = 060 - 061 - 062. Если значение отрицательное, то указывается знак минус «-» в специальной ячейке, расположенной слева перед ячейкой 063.</w:t>
      </w:r>
    </w:p>
    <w:p>
      <w:pPr>
        <w:spacing w:after="120"/>
        <w:jc w:val="both"/>
      </w:pPr>
      <w:r>
        <w:rPr>
          <w:rFonts w:ascii="Arial" w:cs="Arial" w:eastAsia="Arial" w:hAnsi="Arial"/>
          <w:sz w:val="24"/>
          <w:szCs w:val="24"/>
        </w:rPr>
        <w:t xml:space="preserve">41. Если значение ячейки 063 Декларации отрицательное, то оно переносится в ячейку 064 «Налог к возврату», а если положительное, то переносится в ячейку 065 «Налог к уплате».</w:t>
      </w:r>
    </w:p>
    <w:p>
      <w:pPr>
        <w:spacing w:after="120"/>
        <w:jc w:val="both"/>
      </w:pPr>
      <w:r>
        <w:rPr>
          <w:rFonts w:ascii="Arial" w:cs="Arial" w:eastAsia="Arial" w:hAnsi="Arial"/>
          <w:sz w:val="24"/>
          <w:szCs w:val="24"/>
        </w:rPr>
        <w:t xml:space="preserve">42. В нижней части формы Декларации заполненные налогоплательщиком приложения отмечаются знаком «Х», что будет являться подтверждением представления того или иного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Заполнение приложения 1</w:t>
      </w:r>
    </w:p>
    <w:p>
      <w:pPr>
        <w:spacing w:after="120"/>
        <w:jc w:val="both"/>
      </w:pPr>
      <w:r>
        <w:rPr>
          <w:rFonts w:ascii="Arial" w:cs="Arial" w:eastAsia="Arial" w:hAnsi="Arial"/>
          <w:sz w:val="24"/>
          <w:szCs w:val="24"/>
        </w:rPr>
        <w:t xml:space="preserve">«Совокупный годовой доход» (FORM STI - 101 - 001)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При заполнении Декларации налогоплательщики должны руководствоваться правилами налогового учета.</w:t>
      </w:r>
    </w:p>
    <w:p>
      <w:pPr>
        <w:spacing w:after="120"/>
        <w:jc w:val="both"/>
      </w:pPr>
      <w:r>
        <w:rPr>
          <w:rFonts w:ascii="Arial" w:cs="Arial" w:eastAsia="Arial" w:hAnsi="Arial"/>
          <w:sz w:val="24"/>
          <w:szCs w:val="24"/>
        </w:rPr>
        <w:t xml:space="preserve">Примечание: налоговый учет – это принятая система обобщения информации для определения налоговой базы по налогу на основе данных первичных документов, сгруппированных в порядке, предусмотренном законодательством Кыргызской Республики о бухгалтерском учете и Налоговым кодексом.</w:t>
      </w:r>
    </w:p>
    <w:p>
      <w:pPr>
        <w:spacing w:after="120"/>
        <w:jc w:val="both"/>
      </w:pPr>
      <w:r>
        <w:rPr>
          <w:rFonts w:ascii="Arial" w:cs="Arial" w:eastAsia="Arial" w:hAnsi="Arial"/>
          <w:sz w:val="24"/>
          <w:szCs w:val="24"/>
        </w:rPr>
        <w:t xml:space="preserve">Статья 154 Налогового кодекса предусматривает, что порядок ведения налогового учета устанавливается налогоплательщиком в учетной политике для целей налогообложения, утверждаемой соответствующим приказом (распоряжением) руководителя, следовательно, все налогоплательщики должны разработать учетную политику не только для целей бухгалтерского учета, но и для целей налогообложения.</w:t>
      </w:r>
    </w:p>
    <w:p>
      <w:pPr>
        <w:spacing w:after="120"/>
        <w:jc w:val="both"/>
      </w:pPr>
      <w:r>
        <w:rPr>
          <w:rFonts w:ascii="Arial" w:cs="Arial" w:eastAsia="Arial" w:hAnsi="Arial"/>
          <w:sz w:val="24"/>
          <w:szCs w:val="24"/>
        </w:rPr>
        <w:t xml:space="preserve">Согласно части 1 статьи 155 Налогового кодекса налогоплательщик определяет стоимость активов, величину обязательств, доходы и расходы в целях налогообложения по методу и правилам, используемым в бухгалтерском учете, если Налоговым кодексом не установлены иные требования.</w:t>
      </w:r>
    </w:p>
    <w:p>
      <w:pPr>
        <w:spacing w:after="120"/>
        <w:jc w:val="both"/>
      </w:pPr>
      <w:r>
        <w:rPr>
          <w:rFonts w:ascii="Arial" w:cs="Arial" w:eastAsia="Arial" w:hAnsi="Arial"/>
          <w:sz w:val="24"/>
          <w:szCs w:val="24"/>
        </w:rPr>
        <w:t xml:space="preserve">44. Источниками показателей для налогового учета являются:</w:t>
      </w:r>
    </w:p>
    <w:p>
      <w:pPr>
        <w:spacing w:after="120"/>
        <w:jc w:val="both"/>
      </w:pPr>
      <w:r>
        <w:rPr>
          <w:rFonts w:ascii="Arial" w:cs="Arial" w:eastAsia="Arial" w:hAnsi="Arial"/>
          <w:sz w:val="24"/>
          <w:szCs w:val="24"/>
        </w:rPr>
        <w:t xml:space="preserve">1) первичные учетные документы (включая справку бухгалтера);</w:t>
      </w:r>
    </w:p>
    <w:p>
      <w:pPr>
        <w:spacing w:after="120"/>
        <w:jc w:val="both"/>
      </w:pPr>
      <w:r>
        <w:rPr>
          <w:rFonts w:ascii="Arial" w:cs="Arial" w:eastAsia="Arial" w:hAnsi="Arial"/>
          <w:sz w:val="24"/>
          <w:szCs w:val="24"/>
        </w:rPr>
        <w:t xml:space="preserve">2) аналитические регистры бухгалтерского и налогового учета;</w:t>
      </w:r>
    </w:p>
    <w:p>
      <w:pPr>
        <w:spacing w:after="120"/>
        <w:jc w:val="both"/>
      </w:pPr>
      <w:r>
        <w:rPr>
          <w:rFonts w:ascii="Arial" w:cs="Arial" w:eastAsia="Arial" w:hAnsi="Arial"/>
          <w:sz w:val="24"/>
          <w:szCs w:val="24"/>
        </w:rPr>
        <w:t xml:space="preserve">3) расчет налоговой базы.</w:t>
      </w:r>
    </w:p>
    <w:p>
      <w:pPr>
        <w:spacing w:after="120"/>
        <w:jc w:val="both"/>
      </w:pPr>
      <w:r>
        <w:rPr>
          <w:rFonts w:ascii="Arial" w:cs="Arial" w:eastAsia="Arial" w:hAnsi="Arial"/>
          <w:sz w:val="24"/>
          <w:szCs w:val="24"/>
        </w:rPr>
        <w:t xml:space="preserve">Примечание: аналитические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w:t>
      </w:r>
    </w:p>
    <w:p>
      <w:pPr>
        <w:spacing w:after="120"/>
        <w:jc w:val="both"/>
      </w:pPr>
      <w:r>
        <w:rPr>
          <w:rFonts w:ascii="Arial" w:cs="Arial" w:eastAsia="Arial" w:hAnsi="Arial"/>
          <w:sz w:val="24"/>
          <w:szCs w:val="24"/>
        </w:rPr>
        <w:t xml:space="preserve">Регистры налогового учета ведутся в виде специальных форм на бумажных носителях, в электронном виде и/или любых других носителях и устанавливаются самим налогоплательщиком в его налоговой учетной политике.</w:t>
      </w:r>
    </w:p>
    <w:p>
      <w:pPr>
        <w:spacing w:after="120"/>
        <w:jc w:val="both"/>
      </w:pPr>
      <w:r>
        <w:rPr>
          <w:rFonts w:ascii="Arial" w:cs="Arial" w:eastAsia="Arial" w:hAnsi="Arial"/>
          <w:sz w:val="24"/>
          <w:szCs w:val="24"/>
        </w:rPr>
        <w:t xml:space="preserve">45. В ячейках со 150 по 175 указываются все виды доходов от деятельности организации, которые определяются в соответствии с правилами бухгалтерского учета.</w:t>
      </w:r>
    </w:p>
    <w:p>
      <w:pPr>
        <w:spacing w:after="120"/>
        <w:jc w:val="both"/>
      </w:pPr>
      <w:r>
        <w:rPr>
          <w:rFonts w:ascii="Arial" w:cs="Arial" w:eastAsia="Arial" w:hAnsi="Arial"/>
          <w:sz w:val="24"/>
          <w:szCs w:val="24"/>
        </w:rPr>
        <w:t xml:space="preserve">Примечание: доходом признается приток, рост активов (денежных средств, иного имущества) или уменьшение обязательства, влекущие за собой увеличение собственного капитала налогоплательщика, за исключением вкладов участников.</w:t>
      </w:r>
    </w:p>
    <w:p>
      <w:pPr>
        <w:spacing w:after="120"/>
        <w:jc w:val="both"/>
      </w:pPr>
      <w:r>
        <w:rPr>
          <w:rFonts w:ascii="Arial" w:cs="Arial" w:eastAsia="Arial" w:hAnsi="Arial"/>
          <w:sz w:val="24"/>
          <w:szCs w:val="24"/>
        </w:rPr>
        <w:t xml:space="preserve">46. В ячейке 150 указывается общая сумма признанной выручки от реализации товаров, работ, услуг, за исключением выручки от реализации основных средств, включенных в налоговую группу в целях налоговой амортизации.</w:t>
      </w:r>
    </w:p>
    <w:p>
      <w:pPr>
        <w:spacing w:after="120"/>
        <w:jc w:val="both"/>
      </w:pPr>
      <w:r>
        <w:rPr>
          <w:rFonts w:ascii="Arial" w:cs="Arial" w:eastAsia="Arial" w:hAnsi="Arial"/>
          <w:sz w:val="24"/>
          <w:szCs w:val="24"/>
        </w:rPr>
        <w:t xml:space="preserve">Примечание: выручкой признаются денежные средства, полученные или подлежащие получению налогоплательщиком от реализации товаров, работ, услуг в соответствии с установленными стандартами и выбранным методом бухгалтерского учета, за вычетом таких косвенных налогов, как налог на добавленную стоимость и налог с продаж.</w:t>
      </w:r>
    </w:p>
    <w:p>
      <w:pPr>
        <w:spacing w:after="120"/>
        <w:jc w:val="both"/>
      </w:pPr>
      <w:r>
        <w:rPr>
          <w:rFonts w:ascii="Arial" w:cs="Arial" w:eastAsia="Arial" w:hAnsi="Arial"/>
          <w:sz w:val="24"/>
          <w:szCs w:val="24"/>
        </w:rPr>
        <w:t xml:space="preserve">Выручка от реализации товаров, работ, услуг подлежит корректировке в случаях:</w:t>
      </w:r>
    </w:p>
    <w:p>
      <w:pPr>
        <w:spacing w:after="120"/>
        <w:jc w:val="both"/>
      </w:pPr>
      <w:r>
        <w:rPr>
          <w:rFonts w:ascii="Arial" w:cs="Arial" w:eastAsia="Arial" w:hAnsi="Arial"/>
          <w:sz w:val="24"/>
          <w:szCs w:val="24"/>
        </w:rPr>
        <w:t xml:space="preserve">1) полного или частичного возврата товаров;</w:t>
      </w:r>
    </w:p>
    <w:p>
      <w:pPr>
        <w:spacing w:after="120"/>
        <w:jc w:val="both"/>
      </w:pPr>
      <w:r>
        <w:rPr>
          <w:rFonts w:ascii="Arial" w:cs="Arial" w:eastAsia="Arial" w:hAnsi="Arial"/>
          <w:sz w:val="24"/>
          <w:szCs w:val="24"/>
        </w:rPr>
        <w:t xml:space="preserve">2) изменения условий сделки;</w:t>
      </w:r>
    </w:p>
    <w:p>
      <w:pPr>
        <w:spacing w:after="120"/>
        <w:jc w:val="both"/>
      </w:pPr>
      <w:r>
        <w:rPr>
          <w:rFonts w:ascii="Arial" w:cs="Arial" w:eastAsia="Arial" w:hAnsi="Arial"/>
          <w:sz w:val="24"/>
          <w:szCs w:val="24"/>
        </w:rPr>
        <w:t xml:space="preserve">3) полного или частичного неисполнения условий сделки.</w:t>
      </w:r>
    </w:p>
    <w:p>
      <w:pPr>
        <w:spacing w:after="120"/>
        <w:jc w:val="both"/>
      </w:pPr>
      <w:r>
        <w:rPr>
          <w:rFonts w:ascii="Arial" w:cs="Arial" w:eastAsia="Arial" w:hAnsi="Arial"/>
          <w:sz w:val="24"/>
          <w:szCs w:val="24"/>
        </w:rPr>
        <w:t xml:space="preserve">Данная корректировка дохода производится по операциям, которые произошли за отчетный налоговый период, и изменяет размер совокупного годового дохода на сумму возврата или на сумму изменения условий сделки.</w:t>
      </w:r>
    </w:p>
    <w:p>
      <w:pPr>
        <w:spacing w:after="120"/>
        <w:jc w:val="both"/>
      </w:pPr>
      <w:r>
        <w:rPr>
          <w:rFonts w:ascii="Arial" w:cs="Arial" w:eastAsia="Arial" w:hAnsi="Arial"/>
          <w:sz w:val="24"/>
          <w:szCs w:val="24"/>
        </w:rPr>
        <w:t xml:space="preserve">47. В ячейке 151 указывается доход от реализации активов, не подлежащих амортизации, а также доходы в виде стоимости полученных материалов или иного имущества при демонтаже или ликвидации выводимых из эксплуатации основных средств.</w:t>
      </w:r>
    </w:p>
    <w:p>
      <w:pPr>
        <w:spacing w:after="120"/>
        <w:jc w:val="both"/>
      </w:pPr>
      <w:r>
        <w:rPr>
          <w:rFonts w:ascii="Arial" w:cs="Arial" w:eastAsia="Arial" w:hAnsi="Arial"/>
          <w:sz w:val="24"/>
          <w:szCs w:val="24"/>
        </w:rPr>
        <w:t xml:space="preserve">Примечание: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и имущество, стоимость которого полностью переносится в текущем налоговом году в стоимость готовой продукции, выполненных работ и оказанных услуг.</w:t>
      </w:r>
    </w:p>
    <w:p>
      <w:pPr>
        <w:spacing w:after="120"/>
        <w:jc w:val="both"/>
      </w:pPr>
      <w:r>
        <w:rPr>
          <w:rFonts w:ascii="Arial" w:cs="Arial" w:eastAsia="Arial" w:hAnsi="Arial"/>
          <w:sz w:val="24"/>
          <w:szCs w:val="24"/>
        </w:rPr>
        <w:t xml:space="preserve">Стоимость приобретения активов и понесенные затраты на демонтаж или ликвидацию выводимых из эксплуатации основных средств указываются в ячейке 250 приложения 2 как расходы, направленные на получение дохода.</w:t>
      </w:r>
    </w:p>
    <w:p>
      <w:pPr>
        <w:spacing w:after="120"/>
        <w:jc w:val="both"/>
      </w:pPr>
      <w:r>
        <w:rPr>
          <w:rFonts w:ascii="Arial" w:cs="Arial" w:eastAsia="Arial" w:hAnsi="Arial"/>
          <w:sz w:val="24"/>
          <w:szCs w:val="24"/>
        </w:rPr>
        <w:t xml:space="preserve">48. В ячейке 152 указывается доход, полученный за согласие ограничить или прекратить экономическую деятельность.</w:t>
      </w:r>
    </w:p>
    <w:p>
      <w:pPr>
        <w:spacing w:after="120"/>
        <w:jc w:val="both"/>
      </w:pPr>
      <w:r>
        <w:rPr>
          <w:rFonts w:ascii="Arial" w:cs="Arial" w:eastAsia="Arial" w:hAnsi="Arial"/>
          <w:sz w:val="24"/>
          <w:szCs w:val="24"/>
        </w:rPr>
        <w:t xml:space="preserve">49. В ячейке 153 указывается доход от безвозмездно полученных активов.</w:t>
      </w:r>
    </w:p>
    <w:p>
      <w:pPr>
        <w:spacing w:after="120"/>
        <w:jc w:val="both"/>
      </w:pPr>
      <w:r>
        <w:rPr>
          <w:rFonts w:ascii="Arial" w:cs="Arial" w:eastAsia="Arial" w:hAnsi="Arial"/>
          <w:sz w:val="24"/>
          <w:szCs w:val="24"/>
        </w:rPr>
        <w:t xml:space="preserve">В данной ячейке не указываются:</w:t>
      </w:r>
    </w:p>
    <w:p>
      <w:pPr>
        <w:spacing w:after="120"/>
        <w:jc w:val="both"/>
      </w:pPr>
      <w:r>
        <w:rPr>
          <w:rFonts w:ascii="Arial" w:cs="Arial" w:eastAsia="Arial" w:hAnsi="Arial"/>
          <w:sz w:val="24"/>
          <w:szCs w:val="24"/>
        </w:rPr>
        <w:t xml:space="preserve">1) стоимость имущества, полученного в качестве паевого вклада и/или вклада в уставный капитал, а также доход от реализации доли участия в организации;</w:t>
      </w:r>
    </w:p>
    <w:p>
      <w:pPr>
        <w:spacing w:after="120"/>
        <w:jc w:val="both"/>
      </w:pPr>
      <w:r>
        <w:rPr>
          <w:rFonts w:ascii="Arial" w:cs="Arial" w:eastAsia="Arial" w:hAnsi="Arial"/>
          <w:sz w:val="24"/>
          <w:szCs w:val="24"/>
        </w:rPr>
        <w:t xml:space="preserve">2) стоимость безвозмездно передаваемых объектов (социально -культурного, бытового и жилищно-коммунального назначения, дорог, электрических сетей, подстанций, котельных и тепловых сетей, водозаборных сооружений, горно-шахтного оборудования, объектов гражданской обороны) специализированным организациям, осуществляющим использование и эксплуатацию указанных объектов по назначению, стоимость безвозмездно передаваемых предприятиям, учреждениям и организациям основных средств и денежные средства на капитальные вложения по развитию их собственной производственной базы по решению Правительства Кыргызской Республики или органов местного самоуправления;</w:t>
      </w:r>
    </w:p>
    <w:p>
      <w:pPr>
        <w:spacing w:after="120"/>
        <w:jc w:val="both"/>
      </w:pPr>
      <w:r>
        <w:rPr>
          <w:rFonts w:ascii="Arial" w:cs="Arial" w:eastAsia="Arial" w:hAnsi="Arial"/>
          <w:sz w:val="24"/>
          <w:szCs w:val="24"/>
        </w:rPr>
        <w:t xml:space="preserve">3) полученные некоммерческими организациями:</w:t>
      </w:r>
    </w:p>
    <w:p>
      <w:pPr>
        <w:spacing w:after="120"/>
        <w:jc w:val="both"/>
      </w:pPr>
      <w:r>
        <w:rPr>
          <w:rFonts w:ascii="Arial" w:cs="Arial" w:eastAsia="Arial" w:hAnsi="Arial"/>
          <w:sz w:val="24"/>
          <w:szCs w:val="24"/>
        </w:rPr>
        <w:t xml:space="preserve">а) членские и вступительные взносы;</w:t>
      </w:r>
    </w:p>
    <w:p>
      <w:pPr>
        <w:spacing w:after="120"/>
        <w:jc w:val="both"/>
      </w:pPr>
      <w:r>
        <w:rPr>
          <w:rFonts w:ascii="Arial" w:cs="Arial" w:eastAsia="Arial" w:hAnsi="Arial"/>
          <w:sz w:val="24"/>
          <w:szCs w:val="24"/>
        </w:rPr>
        <w:t xml:space="preserve">б) гуманитарная помощь и гранты, при условии их использования в уставных целях;</w:t>
      </w:r>
    </w:p>
    <w:p>
      <w:pPr>
        <w:spacing w:after="120"/>
        <w:jc w:val="both"/>
      </w:pPr>
      <w:r>
        <w:rPr>
          <w:rFonts w:ascii="Arial" w:cs="Arial" w:eastAsia="Arial" w:hAnsi="Arial"/>
          <w:sz w:val="24"/>
          <w:szCs w:val="24"/>
        </w:rPr>
        <w:t xml:space="preserve">в) стоимость безвозмездно полученных активов при условии их использования в уставных целях;</w:t>
      </w:r>
    </w:p>
    <w:p>
      <w:pPr>
        <w:spacing w:after="120"/>
        <w:jc w:val="both"/>
      </w:pPr>
      <w:r>
        <w:rPr>
          <w:rFonts w:ascii="Arial" w:cs="Arial" w:eastAsia="Arial" w:hAnsi="Arial"/>
          <w:sz w:val="24"/>
          <w:szCs w:val="24"/>
        </w:rPr>
        <w:t xml:space="preserve">г) оплата за услуги по техническому содержанию многоквартирных домов и обслуживающих их зданий и сооружений;</w:t>
      </w:r>
    </w:p>
    <w:p>
      <w:pPr>
        <w:spacing w:after="120"/>
        <w:jc w:val="both"/>
      </w:pPr>
      <w:r>
        <w:rPr>
          <w:rFonts w:ascii="Arial" w:cs="Arial" w:eastAsia="Arial" w:hAnsi="Arial"/>
          <w:sz w:val="24"/>
          <w:szCs w:val="24"/>
        </w:rPr>
        <w:t xml:space="preserve">д) оплата за услуги по поставке поливной воды в рамках уставной деятельности, оказываемые ассоциациями водопользователей своим членам;</w:t>
      </w:r>
    </w:p>
    <w:p>
      <w:pPr>
        <w:spacing w:after="120"/>
        <w:jc w:val="both"/>
      </w:pPr>
      <w:r>
        <w:rPr>
          <w:rFonts w:ascii="Arial" w:cs="Arial" w:eastAsia="Arial" w:hAnsi="Arial"/>
          <w:sz w:val="24"/>
          <w:szCs w:val="24"/>
        </w:rPr>
        <w:t xml:space="preserve">4) дивиденды, полученные налогоплательщиками от участия в отечественных организациях;</w:t>
      </w:r>
    </w:p>
    <w:p>
      <w:pPr>
        <w:spacing w:after="120"/>
        <w:jc w:val="both"/>
      </w:pPr>
      <w:r>
        <w:rPr>
          <w:rFonts w:ascii="Arial" w:cs="Arial" w:eastAsia="Arial" w:hAnsi="Arial"/>
          <w:sz w:val="24"/>
          <w:szCs w:val="24"/>
        </w:rPr>
        <w:t xml:space="preserve">5) стоимость имущества, полученного простым товариществом в качестве вклада товарищей;</w:t>
      </w:r>
    </w:p>
    <w:p>
      <w:pPr>
        <w:spacing w:after="120"/>
        <w:jc w:val="both"/>
      </w:pPr>
      <w:r>
        <w:rPr>
          <w:rFonts w:ascii="Arial" w:cs="Arial" w:eastAsia="Arial" w:hAnsi="Arial"/>
          <w:sz w:val="24"/>
          <w:szCs w:val="24"/>
        </w:rPr>
        <w:t xml:space="preserve">6) стоимость имущества, принятого доверительным управляющим в доверительное управление;</w:t>
      </w:r>
    </w:p>
    <w:p>
      <w:pPr>
        <w:spacing w:after="120"/>
        <w:jc w:val="both"/>
      </w:pPr>
      <w:r>
        <w:rPr>
          <w:rFonts w:ascii="Arial" w:cs="Arial" w:eastAsia="Arial" w:hAnsi="Arial"/>
          <w:sz w:val="24"/>
          <w:szCs w:val="24"/>
        </w:rPr>
        <w:t xml:space="preserve">7) доход в виде превышения стоимости собственных акций над их номинальной стоимостью;</w:t>
      </w:r>
    </w:p>
    <w:p>
      <w:pPr>
        <w:spacing w:after="120"/>
        <w:jc w:val="both"/>
      </w:pPr>
      <w:r>
        <w:rPr>
          <w:rFonts w:ascii="Arial" w:cs="Arial" w:eastAsia="Arial" w:hAnsi="Arial"/>
          <w:sz w:val="24"/>
          <w:szCs w:val="24"/>
        </w:rPr>
        <w:t xml:space="preserve">8) доход от прироста стоимости при реализации собственных акций;</w:t>
      </w:r>
    </w:p>
    <w:p>
      <w:pPr>
        <w:spacing w:after="120"/>
        <w:jc w:val="both"/>
      </w:pPr>
      <w:r>
        <w:rPr>
          <w:rFonts w:ascii="Arial" w:cs="Arial" w:eastAsia="Arial" w:hAnsi="Arial"/>
          <w:sz w:val="24"/>
          <w:szCs w:val="24"/>
        </w:rPr>
        <w:t xml:space="preserve">9)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120"/>
        <w:jc w:val="both"/>
      </w:pPr>
      <w:r>
        <w:rPr>
          <w:rFonts w:ascii="Arial" w:cs="Arial" w:eastAsia="Arial" w:hAnsi="Arial"/>
          <w:sz w:val="24"/>
          <w:szCs w:val="24"/>
        </w:rPr>
        <w:t xml:space="preserve">10) доход, полученный по договору финансовой аренды (лизинга) от реализации основных средств.</w:t>
      </w:r>
    </w:p>
    <w:p>
      <w:pPr>
        <w:spacing w:after="120"/>
        <w:jc w:val="both"/>
      </w:pPr>
      <w:r>
        <w:rPr>
          <w:rFonts w:ascii="Arial" w:cs="Arial" w:eastAsia="Arial" w:hAnsi="Arial"/>
          <w:sz w:val="24"/>
          <w:szCs w:val="24"/>
        </w:rPr>
        <w:t xml:space="preserve">Примечание: вышеперечисленные доходы должны быть отражены в приложении 3.</w:t>
      </w:r>
    </w:p>
    <w:p>
      <w:pPr>
        <w:spacing w:after="120"/>
        <w:jc w:val="both"/>
      </w:pPr>
      <w:r>
        <w:rPr>
          <w:rFonts w:ascii="Arial" w:cs="Arial" w:eastAsia="Arial" w:hAnsi="Arial"/>
          <w:sz w:val="24"/>
          <w:szCs w:val="24"/>
        </w:rPr>
        <w:t xml:space="preserve">Доходом признаются любые активы (денежные средства, компьютер, мебель, здание, машина, ценные бумаги, товары, дебиторская задолженность и т.п.), полученные безвозмездно и независимо от того, от кого они получены, по цене, указанной в акте передачи, или по рыночной цене, в зависимости от метода признания, выбранного в учетной политике.</w:t>
      </w:r>
    </w:p>
    <w:p>
      <w:pPr>
        <w:spacing w:after="120"/>
        <w:jc w:val="both"/>
      </w:pPr>
      <w:r>
        <w:rPr>
          <w:rFonts w:ascii="Arial" w:cs="Arial" w:eastAsia="Arial" w:hAnsi="Arial"/>
          <w:sz w:val="24"/>
          <w:szCs w:val="24"/>
        </w:rPr>
        <w:t xml:space="preserve">Членскими и вступительными взносами являются активы, передаваемые членом некоммерческой организации, в размере и порядке, предусмотренными в учредительных документах этой организации, при условии, что такая передача не будет обусловлена встречным предоставлением товаров, работ, услуг члену данной организации бесплатно либо по цене ниже себестоимости.</w:t>
      </w:r>
    </w:p>
    <w:p>
      <w:pPr>
        <w:spacing w:after="120"/>
        <w:jc w:val="both"/>
      </w:pPr>
      <w:r>
        <w:rPr>
          <w:rFonts w:ascii="Arial" w:cs="Arial" w:eastAsia="Arial" w:hAnsi="Arial"/>
          <w:sz w:val="24"/>
          <w:szCs w:val="24"/>
        </w:rPr>
        <w:t xml:space="preserve">Грантами являются активы, безвозмездно предоставляемые государствами, международными, иностранными и отечественными организациями Правительству Кыргызской Республики, органам местного самоуправления, государственным, а также некоммерческим организациям, не участвующим в поддержке политических партий или кандидатов выборных кампаний.</w:t>
      </w:r>
    </w:p>
    <w:p>
      <w:pPr>
        <w:spacing w:after="120"/>
        <w:jc w:val="both"/>
      </w:pPr>
      <w:r>
        <w:rPr>
          <w:rFonts w:ascii="Arial" w:cs="Arial" w:eastAsia="Arial" w:hAnsi="Arial"/>
          <w:sz w:val="24"/>
          <w:szCs w:val="24"/>
        </w:rPr>
        <w:t xml:space="preserve">Гуманитарной помощью являются активы, безвозмездно предоставляемые государствами, организациями Правительству Кыргызской Республики, органу местного самоуправления, государственной, некоммерческой организации, а также нуждающемуся физическому лицу в виде продовольствия, техники, снаряжения, оборудования, медицинских средств и медикаментов, иного имущества для улучшения условий жизни и быта населения, а также предупреждения и ликвидации чрезвычайных ситуаций военного, экологического и техногенного характера при условии их дальнейшего потребления и/или безвозмездного распределения.</w:t>
      </w:r>
    </w:p>
    <w:p>
      <w:pPr>
        <w:spacing w:after="120"/>
        <w:jc w:val="both"/>
      </w:pPr>
      <w:r>
        <w:rPr>
          <w:rFonts w:ascii="Arial" w:cs="Arial" w:eastAsia="Arial" w:hAnsi="Arial"/>
          <w:sz w:val="24"/>
          <w:szCs w:val="24"/>
        </w:rPr>
        <w:t xml:space="preserve">50. В ячейке 154 указывается сумма превышения положительной курсовой разницы над суммой отрицательной курсовой разницы в совокупности за отчетный год.</w:t>
      </w:r>
    </w:p>
    <w:p>
      <w:pPr>
        <w:spacing w:after="120"/>
        <w:jc w:val="both"/>
      </w:pPr>
      <w:r>
        <w:rPr>
          <w:rFonts w:ascii="Arial" w:cs="Arial" w:eastAsia="Arial" w:hAnsi="Arial"/>
          <w:sz w:val="24"/>
          <w:szCs w:val="24"/>
        </w:rPr>
        <w:t xml:space="preserve">Примечание: курсовая разница представляет собой разницу между сомовой оценкой валютного имущества или обязательства по курсу Национального банка Кыргызской Республики для используемой иностранной валюты по отношению к сому на дату расчета или дату составления бухгалтерской отчетности за отчетный период и их сомовой оценкой на дату принятия к бухгалтерскому учету в отчетном периоде или на дату составления бухгалтерской отчетности за предыдущий отчетный период.</w:t>
      </w:r>
    </w:p>
    <w:p>
      <w:pPr>
        <w:spacing w:after="120"/>
        <w:jc w:val="both"/>
      </w:pPr>
      <w:r>
        <w:rPr>
          <w:rFonts w:ascii="Arial" w:cs="Arial" w:eastAsia="Arial" w:hAnsi="Arial"/>
          <w:sz w:val="24"/>
          <w:szCs w:val="24"/>
        </w:rPr>
        <w:t xml:space="preserve">Перерасчету подвергаются: остатки иностранной валюты в кассе, иностранная валюта на счетах в банках и в иных кредитных учреждениях, денежные и платежные документы (счета к оплате и счета к получению, выраженные в иностранной валюте), финансовые вложения в иностранной валюте, средства в расчетах (долговые обязательства, выраженные в иностранной валюте).</w:t>
      </w:r>
    </w:p>
    <w:p>
      <w:pPr>
        <w:spacing w:after="120"/>
        <w:jc w:val="both"/>
      </w:pPr>
      <w:r>
        <w:rPr>
          <w:rFonts w:ascii="Arial" w:cs="Arial" w:eastAsia="Arial" w:hAnsi="Arial"/>
          <w:sz w:val="24"/>
          <w:szCs w:val="24"/>
        </w:rPr>
        <w:t xml:space="preserve">Данная ячейка заполняется только в том случае, если сумма положительной курсовой разницы превышает сумму отрицательной курсовой разницы.</w:t>
      </w:r>
    </w:p>
    <w:p>
      <w:pPr>
        <w:spacing w:after="120"/>
        <w:jc w:val="both"/>
      </w:pPr>
      <w:r>
        <w:rPr>
          <w:rFonts w:ascii="Arial" w:cs="Arial" w:eastAsia="Arial" w:hAnsi="Arial"/>
          <w:sz w:val="24"/>
          <w:szCs w:val="24"/>
        </w:rPr>
        <w:t xml:space="preserve">51. В ячейке 155 указывается процентный доход.</w:t>
      </w:r>
    </w:p>
    <w:p>
      <w:pPr>
        <w:spacing w:after="120"/>
        <w:jc w:val="both"/>
      </w:pPr>
      <w:r>
        <w:rPr>
          <w:rFonts w:ascii="Arial" w:cs="Arial" w:eastAsia="Arial" w:hAnsi="Arial"/>
          <w:sz w:val="24"/>
          <w:szCs w:val="24"/>
        </w:rPr>
        <w:t xml:space="preserve">Примечание: процентным доходом является доход от долговых требований любого вида, в том числе доход по облигациям, векселям и другим видам заимствований, включая доход, полученный от операций привлечения и финансирования, осуществляемых в соответствии с законодательством Кыргызской Республики, а также полученный по договору финансовой аренды (лизинга).</w:t>
      </w:r>
    </w:p>
    <w:p>
      <w:pPr>
        <w:spacing w:after="120"/>
        <w:jc w:val="both"/>
      </w:pPr>
      <w:r>
        <w:rPr>
          <w:rFonts w:ascii="Arial" w:cs="Arial" w:eastAsia="Arial" w:hAnsi="Arial"/>
          <w:sz w:val="24"/>
          <w:szCs w:val="24"/>
        </w:rPr>
        <w:t xml:space="preserve">Под операциями привлечения и финансирования понимаются операции, осуществленные по исламским принципам кредитования, осуществляемым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При заполнении этой ячейки следует обратить внимание на то, был ли удержан налог на проценты у источника выплаты с процентного дохода.</w:t>
      </w:r>
    </w:p>
    <w:p>
      <w:pPr>
        <w:spacing w:after="120"/>
        <w:jc w:val="both"/>
      </w:pPr>
      <w:r>
        <w:rPr>
          <w:rFonts w:ascii="Arial" w:cs="Arial" w:eastAsia="Arial" w:hAnsi="Arial"/>
          <w:sz w:val="24"/>
          <w:szCs w:val="24"/>
        </w:rPr>
        <w:t xml:space="preserve">По условиям части 3 статьи 221 Налогового кодекса в облагаемую сумму процентов не включаются проценты, ранее обложенные налогом у источника дохода.</w:t>
      </w:r>
    </w:p>
    <w:p>
      <w:pPr>
        <w:spacing w:after="120"/>
        <w:jc w:val="both"/>
      </w:pPr>
      <w:r>
        <w:rPr>
          <w:rFonts w:ascii="Arial" w:cs="Arial" w:eastAsia="Arial" w:hAnsi="Arial"/>
          <w:sz w:val="24"/>
          <w:szCs w:val="24"/>
        </w:rPr>
        <w:t xml:space="preserve">Если налог на процентный доход не был удержан у источника дохода, то он полностью указывается в ячейке 155.</w:t>
      </w:r>
    </w:p>
    <w:p>
      <w:pPr>
        <w:spacing w:after="120"/>
        <w:jc w:val="both"/>
      </w:pPr>
      <w:r>
        <w:rPr>
          <w:rFonts w:ascii="Arial" w:cs="Arial" w:eastAsia="Arial" w:hAnsi="Arial"/>
          <w:sz w:val="24"/>
          <w:szCs w:val="24"/>
        </w:rPr>
        <w:t xml:space="preserve">Если налог был удержан налоговым агентом - отечественной организацией или индивидуальным предпринимателем, сумма полученного процентного дохода за вычетом удержанного налога отражается в ячейке 367 приложения 3, как доходы, обложенные у источника.</w:t>
      </w:r>
    </w:p>
    <w:p>
      <w:pPr>
        <w:spacing w:after="120"/>
        <w:jc w:val="both"/>
      </w:pPr>
      <w:r>
        <w:rPr>
          <w:rFonts w:ascii="Arial" w:cs="Arial" w:eastAsia="Arial" w:hAnsi="Arial"/>
          <w:sz w:val="24"/>
          <w:szCs w:val="24"/>
        </w:rPr>
        <w:t xml:space="preserve">Сумма налога, удержанного у источника дохода, должна быть подтверждена соответствующим документом.</w:t>
      </w:r>
    </w:p>
    <w:p>
      <w:pPr>
        <w:spacing w:after="120"/>
        <w:jc w:val="both"/>
      </w:pPr>
      <w:r>
        <w:rPr>
          <w:rFonts w:ascii="Arial" w:cs="Arial" w:eastAsia="Arial" w:hAnsi="Arial"/>
          <w:sz w:val="24"/>
          <w:szCs w:val="24"/>
        </w:rPr>
        <w:t xml:space="preserve">Если налог на проценты был удержан налоговым агентом - иностранной организацией, то необходимо обратиться к международному соглашению. Сумма налога, уплаченная налогоплательщиком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 Сумма начисленного процентного дохода (включая удержанный налог) включается в ячейку 155. Налог, подлежащий зачету в соответствии с соглашением, указывается в ячейке 062 Декларации.</w:t>
      </w:r>
    </w:p>
    <w:p>
      <w:pPr>
        <w:spacing w:after="120"/>
        <w:jc w:val="both"/>
      </w:pPr>
      <w:r>
        <w:rPr>
          <w:rFonts w:ascii="Arial" w:cs="Arial" w:eastAsia="Arial" w:hAnsi="Arial"/>
          <w:sz w:val="24"/>
          <w:szCs w:val="24"/>
        </w:rPr>
        <w:t xml:space="preserve">Не указывается в приложении 1 доход от процентов и доход от прироста стоимости ценных бумаг, находящихся на день реализации в листинге фондовых бирж по наивысшей и следующей за наивысшей категориях листинга. Этот доход является необлагаемым и включается в приложение 3.</w:t>
      </w:r>
    </w:p>
    <w:p>
      <w:pPr>
        <w:spacing w:after="120"/>
        <w:jc w:val="both"/>
      </w:pPr>
      <w:r>
        <w:rPr>
          <w:rFonts w:ascii="Arial" w:cs="Arial" w:eastAsia="Arial" w:hAnsi="Arial"/>
          <w:sz w:val="24"/>
          <w:szCs w:val="24"/>
        </w:rPr>
        <w:t xml:space="preserve">52. В ячейке 156 указываются полученные дивиденды, в том числе дивиденды от участия в иностранных организациях. Сумма дивидендов, полученная налогоплательщиком от участия в отечественной организации, относится к необлагаемым доходам и указывается в ячейке 358 приложения 3.</w:t>
      </w:r>
    </w:p>
    <w:p>
      <w:pPr>
        <w:spacing w:after="120"/>
        <w:jc w:val="both"/>
      </w:pPr>
      <w:r>
        <w:rPr>
          <w:rFonts w:ascii="Arial" w:cs="Arial" w:eastAsia="Arial" w:hAnsi="Arial"/>
          <w:sz w:val="24"/>
          <w:szCs w:val="24"/>
        </w:rPr>
        <w:t xml:space="preserve">Примечание: дивиденд - это часть прибыли налогоплательщика, включая:</w:t>
      </w:r>
    </w:p>
    <w:p>
      <w:pPr>
        <w:spacing w:after="120"/>
        <w:jc w:val="both"/>
      </w:pPr>
      <w:r>
        <w:rPr>
          <w:rFonts w:ascii="Arial" w:cs="Arial" w:eastAsia="Arial" w:hAnsi="Arial"/>
          <w:sz w:val="24"/>
          <w:szCs w:val="24"/>
        </w:rPr>
        <w:t xml:space="preserve">1) прирост стоимости при ликвидации организации, полученный лицом в виде дохода от принадлежащих ему акций;</w:t>
      </w:r>
    </w:p>
    <w:p>
      <w:pPr>
        <w:spacing w:after="120"/>
        <w:jc w:val="both"/>
      </w:pPr>
      <w:r>
        <w:rPr>
          <w:rFonts w:ascii="Arial" w:cs="Arial" w:eastAsia="Arial" w:hAnsi="Arial"/>
          <w:sz w:val="24"/>
          <w:szCs w:val="24"/>
        </w:rPr>
        <w:t xml:space="preserve">2) прибыль индивидуального предпринимателя, оставшаяся в его распоряжении после уплаты налога на прибыль;</w:t>
      </w:r>
    </w:p>
    <w:p>
      <w:pPr>
        <w:spacing w:after="120"/>
        <w:jc w:val="both"/>
      </w:pPr>
      <w:r>
        <w:rPr>
          <w:rFonts w:ascii="Arial" w:cs="Arial" w:eastAsia="Arial" w:hAnsi="Arial"/>
          <w:sz w:val="24"/>
          <w:szCs w:val="24"/>
        </w:rPr>
        <w:t xml:space="preserve">3) любые выплаты в соответствии с долей лица в капитале;</w:t>
      </w:r>
    </w:p>
    <w:p>
      <w:pPr>
        <w:spacing w:after="120"/>
        <w:jc w:val="both"/>
      </w:pPr>
      <w:r>
        <w:rPr>
          <w:rFonts w:ascii="Arial" w:cs="Arial" w:eastAsia="Arial" w:hAnsi="Arial"/>
          <w:sz w:val="24"/>
          <w:szCs w:val="24"/>
        </w:rPr>
        <w:t xml:space="preserve">4) кооперативные выплаты членам сельскохозяйственных товарно -сервисных кооперативов;</w:t>
      </w:r>
    </w:p>
    <w:p>
      <w:pPr>
        <w:spacing w:after="120"/>
        <w:jc w:val="both"/>
      </w:pPr>
      <w:r>
        <w:rPr>
          <w:rFonts w:ascii="Arial" w:cs="Arial" w:eastAsia="Arial" w:hAnsi="Arial"/>
          <w:sz w:val="24"/>
          <w:szCs w:val="24"/>
        </w:rPr>
        <w:t xml:space="preserve">5) выплаты в соответствии с паем в инвестиционном фонде.</w:t>
      </w:r>
    </w:p>
    <w:p>
      <w:pPr>
        <w:spacing w:after="120"/>
        <w:jc w:val="both"/>
      </w:pPr>
      <w:r>
        <w:rPr>
          <w:rFonts w:ascii="Arial" w:cs="Arial" w:eastAsia="Arial" w:hAnsi="Arial"/>
          <w:sz w:val="24"/>
          <w:szCs w:val="24"/>
        </w:rPr>
        <w:t xml:space="preserve">53. В ячейке 157 указывается сумма роялти, полученная в течение отчетного года.</w:t>
      </w:r>
    </w:p>
    <w:p>
      <w:pPr>
        <w:spacing w:after="120"/>
        <w:jc w:val="both"/>
      </w:pPr>
      <w:r>
        <w:rPr>
          <w:rFonts w:ascii="Arial" w:cs="Arial" w:eastAsia="Arial" w:hAnsi="Arial"/>
          <w:sz w:val="24"/>
          <w:szCs w:val="24"/>
        </w:rPr>
        <w:t xml:space="preserve">Примечание: к роялти относятся платежи любого вида, получаемые в качестве вознаграждения:</w:t>
      </w:r>
    </w:p>
    <w:p>
      <w:pPr>
        <w:spacing w:after="120"/>
        <w:jc w:val="both"/>
      </w:pPr>
      <w:r>
        <w:rPr>
          <w:rFonts w:ascii="Arial" w:cs="Arial" w:eastAsia="Arial" w:hAnsi="Arial"/>
          <w:sz w:val="24"/>
          <w:szCs w:val="24"/>
        </w:rPr>
        <w:t xml:space="preserve">1)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120"/>
        <w:jc w:val="both"/>
      </w:pPr>
      <w:r>
        <w:rPr>
          <w:rFonts w:ascii="Arial" w:cs="Arial" w:eastAsia="Arial" w:hAnsi="Arial"/>
          <w:sz w:val="24"/>
          <w:szCs w:val="24"/>
        </w:rPr>
        <w:t xml:space="preserve">2)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 - хау), касающуюся промышленного, коммерческого или научного опыта.</w:t>
      </w:r>
    </w:p>
    <w:p>
      <w:pPr>
        <w:spacing w:after="120"/>
        <w:jc w:val="both"/>
      </w:pPr>
      <w:r>
        <w:rPr>
          <w:rFonts w:ascii="Arial" w:cs="Arial" w:eastAsia="Arial" w:hAnsi="Arial"/>
          <w:sz w:val="24"/>
          <w:szCs w:val="24"/>
        </w:rPr>
        <w:t xml:space="preserve">54. В ячейке 158 указываются доходы в виде вознаграждений и компенсаций, полученных за участие в управлении организацией. Такими доходами, например, являются вознаграждения и компенсации, получаемые за участие в работе Совета директоров, Правления, Наблюдательного совета, то есть управленческого, но не исполнительного органа другой организации.</w:t>
      </w:r>
    </w:p>
    <w:p>
      <w:pPr>
        <w:spacing w:after="120"/>
        <w:jc w:val="both"/>
      </w:pPr>
      <w:r>
        <w:rPr>
          <w:rFonts w:ascii="Arial" w:cs="Arial" w:eastAsia="Arial" w:hAnsi="Arial"/>
          <w:sz w:val="24"/>
          <w:szCs w:val="24"/>
        </w:rPr>
        <w:t xml:space="preserve">Пример: одно юридическое лицо является учредителем другого юридического лица. Один из сотрудников юридического лица - учредителя уполномочен представлять интересы учредителя в Совете директоров второго юридического лица. На время заседаний Совета директоров юридическое лицо - учредитель направляет своего сотрудника в командировку, оплачивая ему проезд, суточные и проживание. Кроме того, второе юридическое лицо установило вознаграждение членам Совета директоров и выплату бонуса по окончании финансового года. Суммы, полученные организацией-учредителем от учрежденного юридического лица в виде выплат вознаграждений, бонусов, компенсаций за произведенные транспортные, суточные расходы, проживание, представительские расходы, указываются в ячейке 158.</w:t>
      </w:r>
    </w:p>
    <w:p>
      <w:pPr>
        <w:spacing w:after="120"/>
        <w:jc w:val="both"/>
      </w:pPr>
      <w:r>
        <w:rPr>
          <w:rFonts w:ascii="Arial" w:cs="Arial" w:eastAsia="Arial" w:hAnsi="Arial"/>
          <w:sz w:val="24"/>
          <w:szCs w:val="24"/>
        </w:rPr>
        <w:t xml:space="preserve">55. В ячейке 159 указываются доход, полученный от сдачи в аренду движимого и недвижимого имущества: платежи за аренду, за обеспечение арендаторов электроэнергией, водой, охраной и другими коммунальными услугами, а также другие доходы, связанные с арендой.</w:t>
      </w:r>
    </w:p>
    <w:p>
      <w:pPr>
        <w:spacing w:after="120"/>
        <w:jc w:val="both"/>
      </w:pPr>
      <w:r>
        <w:rPr>
          <w:rFonts w:ascii="Arial" w:cs="Arial" w:eastAsia="Arial" w:hAnsi="Arial"/>
          <w:sz w:val="24"/>
          <w:szCs w:val="24"/>
        </w:rPr>
        <w:t xml:space="preserve">56. В ячейке 160 указывается доход от прироста стоимости при реализации движимого и недвижимого имущества, не используемого при осуществлении предпринимательской деятельности, в частности, объектов социального назначения – детских садов, профилакториев, пансионатов, жилых помещений и другого имущества, не используемого в предпринимательских целях.</w:t>
      </w:r>
    </w:p>
    <w:p>
      <w:pPr>
        <w:spacing w:after="120"/>
        <w:jc w:val="both"/>
      </w:pPr>
      <w:r>
        <w:rPr>
          <w:rFonts w:ascii="Arial" w:cs="Arial" w:eastAsia="Arial" w:hAnsi="Arial"/>
          <w:sz w:val="24"/>
          <w:szCs w:val="24"/>
        </w:rPr>
        <w:t xml:space="preserve">57. В ячейке 161 указывается общая сумма дохода, полученная от реализации ценных бумаг и доли участия, в которой отражается стоимость реализации:</w:t>
      </w:r>
    </w:p>
    <w:p>
      <w:pPr>
        <w:spacing w:after="120"/>
        <w:jc w:val="both"/>
      </w:pPr>
      <w:r>
        <w:rPr>
          <w:rFonts w:ascii="Arial" w:cs="Arial" w:eastAsia="Arial" w:hAnsi="Arial"/>
          <w:sz w:val="24"/>
          <w:szCs w:val="24"/>
        </w:rPr>
        <w:t xml:space="preserve">1) акций за минусом стоимости приобретения:</w:t>
      </w:r>
    </w:p>
    <w:p>
      <w:pPr>
        <w:spacing w:after="120"/>
        <w:jc w:val="both"/>
      </w:pPr>
      <w:r>
        <w:rPr>
          <w:rFonts w:ascii="Arial" w:cs="Arial" w:eastAsia="Arial" w:hAnsi="Arial"/>
          <w:sz w:val="24"/>
          <w:szCs w:val="24"/>
        </w:rPr>
        <w:t xml:space="preserve">2) производных ценных бумаг;</w:t>
      </w:r>
    </w:p>
    <w:p>
      <w:pPr>
        <w:spacing w:after="120"/>
        <w:jc w:val="both"/>
      </w:pPr>
      <w:r>
        <w:rPr>
          <w:rFonts w:ascii="Arial" w:cs="Arial" w:eastAsia="Arial" w:hAnsi="Arial"/>
          <w:sz w:val="24"/>
          <w:szCs w:val="24"/>
        </w:rPr>
        <w:t xml:space="preserve">3) долговых ценных бумаг без учета купона за минусом стоимости приобретения, с учетом амортизации дисконта и/или премии на дату реализации;</w:t>
      </w:r>
    </w:p>
    <w:p>
      <w:pPr>
        <w:spacing w:after="120"/>
        <w:jc w:val="both"/>
      </w:pPr>
      <w:r>
        <w:rPr>
          <w:rFonts w:ascii="Arial" w:cs="Arial" w:eastAsia="Arial" w:hAnsi="Arial"/>
          <w:sz w:val="24"/>
          <w:szCs w:val="24"/>
        </w:rPr>
        <w:t xml:space="preserve">4) иных объектов имущественного права, признанных ценными бумагами в соответствии с законодательством Кыргызской Республики, за минусом стоимости их приобретения;</w:t>
      </w:r>
    </w:p>
    <w:p>
      <w:pPr>
        <w:spacing w:after="120"/>
        <w:jc w:val="both"/>
      </w:pPr>
      <w:r>
        <w:rPr>
          <w:rFonts w:ascii="Arial" w:cs="Arial" w:eastAsia="Arial" w:hAnsi="Arial"/>
          <w:sz w:val="24"/>
          <w:szCs w:val="24"/>
        </w:rPr>
        <w:t xml:space="preserve">5) доли участия в капитале хозяйственных товариществ и обществ, фондов, пая в кооперативах за минусом стоимости вклада, пая.</w:t>
      </w:r>
    </w:p>
    <w:p>
      <w:pPr>
        <w:spacing w:after="120"/>
        <w:jc w:val="both"/>
      </w:pPr>
      <w:r>
        <w:rPr>
          <w:rFonts w:ascii="Arial" w:cs="Arial" w:eastAsia="Arial" w:hAnsi="Arial"/>
          <w:sz w:val="24"/>
          <w:szCs w:val="24"/>
        </w:rPr>
        <w:t xml:space="preserve">Примечание: акцией является ценная бумага, удостоверяющая право ее держателя (акционера) на получение части прибыли акционерного общества в виде дивидендов, на участие в управлении делами акционерного общества и на часть имущества, оставшегося после его ликвидации.</w:t>
      </w:r>
    </w:p>
    <w:p>
      <w:pPr>
        <w:spacing w:after="120"/>
        <w:jc w:val="both"/>
      </w:pPr>
      <w:r>
        <w:rPr>
          <w:rFonts w:ascii="Arial" w:cs="Arial" w:eastAsia="Arial" w:hAnsi="Arial"/>
          <w:sz w:val="24"/>
          <w:szCs w:val="24"/>
        </w:rPr>
        <w:t xml:space="preserve">Производные ценные бумаги – это ценные бумаги, удостоверяющие права по отношению к базовому активу данных производных ценных бумаг. К производным ценным бумагам относятся: опционы, свопы, форварды, фьючерсы, депозитарные расписки, варранты и другие ценные бумаги, признанные производными ценными бумагами в соответствии с законодательством Кыргызской Республики. Базовыми активами могут быть стандартизованные партии товаров, ценные бумаги, валюта и финансовые инструменты.</w:t>
      </w:r>
    </w:p>
    <w:p>
      <w:pPr>
        <w:spacing w:after="120"/>
        <w:jc w:val="both"/>
      </w:pPr>
      <w:r>
        <w:rPr>
          <w:rFonts w:ascii="Arial" w:cs="Arial" w:eastAsia="Arial" w:hAnsi="Arial"/>
          <w:sz w:val="24"/>
          <w:szCs w:val="24"/>
        </w:rPr>
        <w:t xml:space="preserve">При реализации акций доходом признается положительная разница между ценой реализации и ценой приобретения, которая включается в данную ячейку.</w:t>
      </w:r>
    </w:p>
    <w:p>
      <w:pPr>
        <w:spacing w:after="120"/>
        <w:jc w:val="both"/>
      </w:pPr>
      <w:r>
        <w:rPr>
          <w:rFonts w:ascii="Arial" w:cs="Arial" w:eastAsia="Arial" w:hAnsi="Arial"/>
          <w:sz w:val="24"/>
          <w:szCs w:val="24"/>
        </w:rPr>
        <w:t xml:space="preserve">Расходы, связанные с приобретением производных ценных бумаг, указываются в ячейке 250 приложения 2 как расходы, направленные на получение дохода.</w:t>
      </w:r>
    </w:p>
    <w:p>
      <w:pPr>
        <w:spacing w:after="120"/>
        <w:jc w:val="both"/>
      </w:pPr>
      <w:r>
        <w:rPr>
          <w:rFonts w:ascii="Arial" w:cs="Arial" w:eastAsia="Arial" w:hAnsi="Arial"/>
          <w:sz w:val="24"/>
          <w:szCs w:val="24"/>
        </w:rPr>
        <w:t xml:space="preserve">Долговые ценные бумаги - ценные бумаги внутренних государственных и местных займов, иные бумаги, выпускаемые или гарантированные Правительством Кыргызской Республики, Национальным банком Кыргызской Республики, местными органами государственной власти.</w:t>
      </w:r>
    </w:p>
    <w:p>
      <w:pPr>
        <w:spacing w:after="120"/>
        <w:jc w:val="both"/>
      </w:pPr>
      <w:r>
        <w:rPr>
          <w:rFonts w:ascii="Arial" w:cs="Arial" w:eastAsia="Arial" w:hAnsi="Arial"/>
          <w:sz w:val="24"/>
          <w:szCs w:val="24"/>
        </w:rPr>
        <w:t xml:space="preserve">Доход по долговым ценным бумагам - дисконт либо купон (с учетом дисконта либо премии от стоимости первичного размещения и/или стоимости приобретения), выплаты по векселю.</w:t>
      </w:r>
    </w:p>
    <w:p>
      <w:pPr>
        <w:spacing w:after="120"/>
        <w:jc w:val="both"/>
      </w:pPr>
      <w:r>
        <w:rPr>
          <w:rFonts w:ascii="Arial" w:cs="Arial" w:eastAsia="Arial" w:hAnsi="Arial"/>
          <w:sz w:val="24"/>
          <w:szCs w:val="24"/>
        </w:rPr>
        <w:t xml:space="preserve">Купон по долговым ценным бумагам - сумма, выплачиваемая (подлежащая выплате) эмитентом сверх номинальной стоимости долговых ценных бумаг в соответствии с условиями выпуска.</w:t>
      </w:r>
    </w:p>
    <w:p>
      <w:pPr>
        <w:spacing w:after="120"/>
        <w:jc w:val="both"/>
      </w:pPr>
      <w:r>
        <w:rPr>
          <w:rFonts w:ascii="Arial" w:cs="Arial" w:eastAsia="Arial" w:hAnsi="Arial"/>
          <w:sz w:val="24"/>
          <w:szCs w:val="24"/>
        </w:rPr>
        <w:t xml:space="preserve">Дисконт по долговым ценным бумагам - разница между номинальной стоимостью и стоимостью первичного размещения (без учета купона) или стоимостью приобретения (без учета купона) долговых ценных бумаг.</w:t>
      </w:r>
    </w:p>
    <w:p>
      <w:pPr>
        <w:spacing w:after="120"/>
        <w:jc w:val="both"/>
      </w:pPr>
      <w:r>
        <w:rPr>
          <w:rFonts w:ascii="Arial" w:cs="Arial" w:eastAsia="Arial" w:hAnsi="Arial"/>
          <w:sz w:val="24"/>
          <w:szCs w:val="24"/>
        </w:rPr>
        <w:t xml:space="preserve">58. В ячейке 162 указываются субсидии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налогоплательщику в обмен на прошлое или будущее выполнение определенных условий, связанных с его экономической деятельностью).</w:t>
      </w:r>
    </w:p>
    <w:p>
      <w:pPr>
        <w:spacing w:after="120"/>
        <w:jc w:val="both"/>
      </w:pPr>
      <w:r>
        <w:rPr>
          <w:rFonts w:ascii="Arial" w:cs="Arial" w:eastAsia="Arial" w:hAnsi="Arial"/>
          <w:sz w:val="24"/>
          <w:szCs w:val="24"/>
        </w:rPr>
        <w:t xml:space="preserve">Доход от субсидии признается в той мере, в которой были понесены расходы, связанные с использованием субсидии.</w:t>
      </w:r>
    </w:p>
    <w:p>
      <w:pPr>
        <w:spacing w:after="120"/>
        <w:jc w:val="both"/>
      </w:pPr>
      <w:r>
        <w:rPr>
          <w:rFonts w:ascii="Arial" w:cs="Arial" w:eastAsia="Arial" w:hAnsi="Arial"/>
          <w:sz w:val="24"/>
          <w:szCs w:val="24"/>
        </w:rPr>
        <w:t xml:space="preserve">Оставшаяся неиспользованная часть субсидии отражается в учете как отложенный доход будущих периодов.</w:t>
      </w:r>
    </w:p>
    <w:p>
      <w:pPr>
        <w:spacing w:after="120"/>
        <w:jc w:val="both"/>
      </w:pPr>
      <w:r>
        <w:rPr>
          <w:rFonts w:ascii="Arial" w:cs="Arial" w:eastAsia="Arial" w:hAnsi="Arial"/>
          <w:sz w:val="24"/>
          <w:szCs w:val="24"/>
        </w:rPr>
        <w:t xml:space="preserve">59. В ячейке 163 указывается отрицательная сумма налогового расчета по группам амортизируемых активов на конец налогового периода.</w:t>
      </w:r>
    </w:p>
    <w:p>
      <w:pPr>
        <w:spacing w:after="120"/>
        <w:jc w:val="both"/>
      </w:pPr>
      <w:r>
        <w:rPr>
          <w:rFonts w:ascii="Arial" w:cs="Arial" w:eastAsia="Arial" w:hAnsi="Arial"/>
          <w:sz w:val="24"/>
          <w:szCs w:val="24"/>
        </w:rPr>
        <w:t xml:space="preserve">Примечание: доход от реализации основных средств, подлежащих амортизации, не включается в доход от реализации товаров (работ, услуг), а учитывается при определении налоговой стоимости группы в соответствии с положениями статьи 200 Налогового кодекса. Если налоговая стоимость группы амортизируемых активов на конец года меньше нуля, налогоплательщик включает в свой доход указанный отрицательный остаток.</w:t>
      </w:r>
    </w:p>
    <w:p>
      <w:pPr>
        <w:spacing w:after="120"/>
        <w:jc w:val="both"/>
      </w:pPr>
      <w:r>
        <w:rPr>
          <w:rFonts w:ascii="Arial" w:cs="Arial" w:eastAsia="Arial" w:hAnsi="Arial"/>
          <w:sz w:val="24"/>
          <w:szCs w:val="24"/>
        </w:rPr>
        <w:t xml:space="preserve">60. В ячейке 164 указывается стоимость излишков активов, выявленных в результате инвентаризации. Основной целью проведения инвентаризации является уточнение учета активов. В случае выявления излишков активов их учетную стоимость необходимо признать доходом для заполнения данной ячейки.</w:t>
      </w:r>
    </w:p>
    <w:p>
      <w:pPr>
        <w:spacing w:after="120"/>
        <w:jc w:val="both"/>
      </w:pPr>
      <w:r>
        <w:rPr>
          <w:rFonts w:ascii="Arial" w:cs="Arial" w:eastAsia="Arial" w:hAnsi="Arial"/>
          <w:sz w:val="24"/>
          <w:szCs w:val="24"/>
        </w:rPr>
        <w:t xml:space="preserve">61. В ячейке 165 указывается общая сумма доходов от прекращения обязательств налогоплательщика, отраженная в ячейках 166 и 167.</w:t>
      </w:r>
    </w:p>
    <w:p>
      <w:pPr>
        <w:spacing w:after="120"/>
        <w:jc w:val="both"/>
      </w:pPr>
      <w:r>
        <w:rPr>
          <w:rFonts w:ascii="Arial" w:cs="Arial" w:eastAsia="Arial" w:hAnsi="Arial"/>
          <w:sz w:val="24"/>
          <w:szCs w:val="24"/>
        </w:rPr>
        <w:t xml:space="preserve">62. В ячейке 166 указывается сумма обязательства, списанная кредитором. В случае, если обязательство по кредиторской задолженности аннулируется по такой причине, как прощение долга, непогашенная сумма которого должна признаваться доходом и включаться в Декларацию. В случае, если списание задолженности осуществлено в соответствии со специальным законом, например, законом о реструктуризации задолженности перед бюджетом, сумма списанного долга не включается в доход.</w:t>
      </w:r>
    </w:p>
    <w:p>
      <w:pPr>
        <w:spacing w:after="120"/>
        <w:jc w:val="both"/>
      </w:pPr>
      <w:r>
        <w:rPr>
          <w:rFonts w:ascii="Arial" w:cs="Arial" w:eastAsia="Arial" w:hAnsi="Arial"/>
          <w:sz w:val="24"/>
          <w:szCs w:val="24"/>
        </w:rPr>
        <w:t xml:space="preserve">63. В ячейке 167 указывается исполнение обязательства налогоплательщика, в том числе налогового обязательства, третьей стороной. Исполнение любого обязательства может быть осуществлено третьей стороной, но если в результате у налогоплательщика не возникает обязанности погасить данный долг, то сумма, оплаченная третьей стороной, признается доходом налогоплательщика.</w:t>
      </w:r>
    </w:p>
    <w:p>
      <w:pPr>
        <w:spacing w:after="120"/>
        <w:jc w:val="both"/>
      </w:pPr>
      <w:r>
        <w:rPr>
          <w:rFonts w:ascii="Arial" w:cs="Arial" w:eastAsia="Arial" w:hAnsi="Arial"/>
          <w:sz w:val="24"/>
          <w:szCs w:val="24"/>
        </w:rPr>
        <w:t xml:space="preserve">64. В ячейке 168 указываются доходы от уступки права требования долга. Если в результате перевода долга налогоплательщик получит доход (положительная разница между суммой установленной оплаты к получению и суммой переданного долга), то указанная разница признается доходом и включается в данную ячейку.</w:t>
      </w:r>
    </w:p>
    <w:p>
      <w:pPr>
        <w:spacing w:after="120"/>
        <w:jc w:val="both"/>
      </w:pPr>
      <w:r>
        <w:rPr>
          <w:rFonts w:ascii="Arial" w:cs="Arial" w:eastAsia="Arial" w:hAnsi="Arial"/>
          <w:sz w:val="24"/>
          <w:szCs w:val="24"/>
        </w:rPr>
        <w:t xml:space="preserve">65. В ячейке 169 указываются страховые суммы возмещения по договорам страхования, за исключением возмещения страховых сумм по застрахованным основным средствам. Если в результате наступления страхового случая налогоплательщик получит, согласно договору страхования, возмещение, то указанная сумма, за исключением возмещения страховых сумм по застрахованным основным средствам, признается доходом и включается в данную ячейку.</w:t>
      </w:r>
    </w:p>
    <w:p>
      <w:pPr>
        <w:spacing w:after="120"/>
        <w:jc w:val="both"/>
      </w:pPr>
      <w:r>
        <w:rPr>
          <w:rFonts w:ascii="Arial" w:cs="Arial" w:eastAsia="Arial" w:hAnsi="Arial"/>
          <w:sz w:val="24"/>
          <w:szCs w:val="24"/>
        </w:rPr>
        <w:t xml:space="preserve">Примечание: полученные суммы страховых возмещений по договорам страхования по застрахованным основным средствам, не включенным в группы налоговой амортизации, признаются доходом и вносятся в данную ячейку.</w:t>
      </w:r>
    </w:p>
    <w:p>
      <w:pPr>
        <w:spacing w:after="120"/>
        <w:jc w:val="both"/>
      </w:pPr>
      <w:r>
        <w:rPr>
          <w:rFonts w:ascii="Arial" w:cs="Arial" w:eastAsia="Arial" w:hAnsi="Arial"/>
          <w:sz w:val="24"/>
          <w:szCs w:val="24"/>
        </w:rPr>
        <w:t xml:space="preserve">Полученные страховые выплаты по договорам страхования основных средств, включенным в группы налоговой амортизации, не включаются в данную ячейку, а учитываются при определении налоговой стоимости групп основных средств в соответствии с положениями статьи 201 Налогового кодекса.</w:t>
      </w:r>
    </w:p>
    <w:p>
      <w:pPr>
        <w:spacing w:after="120"/>
        <w:jc w:val="both"/>
      </w:pPr>
      <w:r>
        <w:rPr>
          <w:rFonts w:ascii="Arial" w:cs="Arial" w:eastAsia="Arial" w:hAnsi="Arial"/>
          <w:sz w:val="24"/>
          <w:szCs w:val="24"/>
        </w:rPr>
        <w:t xml:space="preserve">66. В ячейке 170 указываются суммы сомнительных обязательств, отраженные в ячейках 171 и 172.</w:t>
      </w:r>
    </w:p>
    <w:p>
      <w:pPr>
        <w:spacing w:after="120"/>
        <w:jc w:val="both"/>
      </w:pPr>
      <w:r>
        <w:rPr>
          <w:rFonts w:ascii="Arial" w:cs="Arial" w:eastAsia="Arial" w:hAnsi="Arial"/>
          <w:sz w:val="24"/>
          <w:szCs w:val="24"/>
        </w:rPr>
        <w:t xml:space="preserve">Примечание: сомнительное обязательство - сумма, причитающаяся к оплате налогоплательщиком, которую он не оплатил вследствие прекращения обязательства по решению суда, банкротства, ликвидации или смерти кредитора, или истечения срока исковой давности, предусмотренного гражданским законодательством Кыргызской Республики.</w:t>
      </w:r>
    </w:p>
    <w:p>
      <w:pPr>
        <w:spacing w:after="120"/>
        <w:jc w:val="both"/>
      </w:pPr>
      <w:r>
        <w:rPr>
          <w:rFonts w:ascii="Arial" w:cs="Arial" w:eastAsia="Arial" w:hAnsi="Arial"/>
          <w:sz w:val="24"/>
          <w:szCs w:val="24"/>
        </w:rPr>
        <w:t xml:space="preserve">67. В ячейке 171 указывается сумма обязательств, списанных в связи с истечением срока исковой давности, установленного гражданским законодательством Кыргызской Республики.</w:t>
      </w:r>
    </w:p>
    <w:p>
      <w:pPr>
        <w:spacing w:after="120"/>
        <w:jc w:val="both"/>
      </w:pPr>
      <w:r>
        <w:rPr>
          <w:rFonts w:ascii="Arial" w:cs="Arial" w:eastAsia="Arial" w:hAnsi="Arial"/>
          <w:sz w:val="24"/>
          <w:szCs w:val="24"/>
        </w:rPr>
        <w:t xml:space="preserve">Примечание: в соответствии с гражданским законодательством Кыргызской Республики срок исковой давности определяется тремя годами. Течение исковой давности начинается с момента, когда у кредитора возникает право предъявить требование об исполнении обязательства. Это означает, что если должнику предоставлен льготный период по исполнению обязательства, исчисление исковой давности начинается с даты, следующей за датой окончания указанного периода.</w:t>
      </w:r>
    </w:p>
    <w:p>
      <w:pPr>
        <w:spacing w:after="120"/>
        <w:jc w:val="both"/>
      </w:pPr>
      <w:r>
        <w:rPr>
          <w:rFonts w:ascii="Arial" w:cs="Arial" w:eastAsia="Arial" w:hAnsi="Arial"/>
          <w:sz w:val="24"/>
          <w:szCs w:val="24"/>
        </w:rPr>
        <w:t xml:space="preserve">68. В ячейке 172 указывается сумма обязательства, списанная по решению суда.</w:t>
      </w:r>
    </w:p>
    <w:p>
      <w:pPr>
        <w:spacing w:after="120"/>
        <w:jc w:val="both"/>
      </w:pPr>
      <w:r>
        <w:rPr>
          <w:rFonts w:ascii="Arial" w:cs="Arial" w:eastAsia="Arial" w:hAnsi="Arial"/>
          <w:sz w:val="24"/>
          <w:szCs w:val="24"/>
        </w:rPr>
        <w:t xml:space="preserve">69. В ячейке 173 указывается превышение доходов над расходами, полученными в результате использования объектов социальной сферы:</w:t>
      </w:r>
    </w:p>
    <w:p>
      <w:pPr>
        <w:spacing w:after="120"/>
        <w:jc w:val="both"/>
      </w:pPr>
      <w:r>
        <w:rPr>
          <w:rFonts w:ascii="Arial" w:cs="Arial" w:eastAsia="Arial" w:hAnsi="Arial"/>
          <w:sz w:val="24"/>
          <w:szCs w:val="24"/>
        </w:rPr>
        <w:t xml:space="preserve">1) если доход, полученный от эксплуатации названных или аналогичных по назначению объектов, превышает расход, связанный с использованием данных объектов, сумма превышения признается доходом и указывается в данной ячейке;</w:t>
      </w:r>
    </w:p>
    <w:p>
      <w:pPr>
        <w:spacing w:after="120"/>
        <w:jc w:val="both"/>
      </w:pPr>
      <w:r>
        <w:rPr>
          <w:rFonts w:ascii="Arial" w:cs="Arial" w:eastAsia="Arial" w:hAnsi="Arial"/>
          <w:sz w:val="24"/>
          <w:szCs w:val="24"/>
        </w:rPr>
        <w:t xml:space="preserve">2) если расход на эксплуатацию социальных объектов будет равен или превышает доход от нее, то в ячейке 173 указывается цифра «0».</w:t>
      </w:r>
    </w:p>
    <w:p>
      <w:pPr>
        <w:spacing w:after="120"/>
        <w:jc w:val="both"/>
      </w:pPr>
      <w:r>
        <w:rPr>
          <w:rFonts w:ascii="Arial" w:cs="Arial" w:eastAsia="Arial" w:hAnsi="Arial"/>
          <w:sz w:val="24"/>
          <w:szCs w:val="24"/>
        </w:rPr>
        <w:t xml:space="preserve">Примечание: к объектам социальной сферы относятся:</w:t>
      </w:r>
    </w:p>
    <w:p>
      <w:pPr>
        <w:spacing w:after="120"/>
        <w:jc w:val="both"/>
      </w:pPr>
      <w:r>
        <w:rPr>
          <w:rFonts w:ascii="Arial" w:cs="Arial" w:eastAsia="Arial" w:hAnsi="Arial"/>
          <w:sz w:val="24"/>
          <w:szCs w:val="24"/>
        </w:rPr>
        <w:t xml:space="preserve">1) дошкольные учреждения (детские сады, ясли);</w:t>
      </w:r>
    </w:p>
    <w:p>
      <w:pPr>
        <w:spacing w:after="120"/>
        <w:jc w:val="both"/>
      </w:pPr>
      <w:r>
        <w:rPr>
          <w:rFonts w:ascii="Arial" w:cs="Arial" w:eastAsia="Arial" w:hAnsi="Arial"/>
          <w:sz w:val="24"/>
          <w:szCs w:val="24"/>
        </w:rPr>
        <w:t xml:space="preserve">2) медицинские учреждения (больницы, санатории, поликлиники, профилактории);</w:t>
      </w:r>
    </w:p>
    <w:p>
      <w:pPr>
        <w:spacing w:after="120"/>
        <w:jc w:val="both"/>
      </w:pPr>
      <w:r>
        <w:rPr>
          <w:rFonts w:ascii="Arial" w:cs="Arial" w:eastAsia="Arial" w:hAnsi="Arial"/>
          <w:sz w:val="24"/>
          <w:szCs w:val="24"/>
        </w:rPr>
        <w:t xml:space="preserve">3) объекты культуры (дворцы культуры, клубы, кинотеатры, библиотеки);</w:t>
      </w:r>
    </w:p>
    <w:p>
      <w:pPr>
        <w:spacing w:after="120"/>
        <w:jc w:val="both"/>
      </w:pPr>
      <w:r>
        <w:rPr>
          <w:rFonts w:ascii="Arial" w:cs="Arial" w:eastAsia="Arial" w:hAnsi="Arial"/>
          <w:sz w:val="24"/>
          <w:szCs w:val="24"/>
        </w:rPr>
        <w:t xml:space="preserve">4) гостиницы и объекты отдыха (пансионаты, детские оздоровительные лагеря, базы отдыха, туристические базы);</w:t>
      </w:r>
    </w:p>
    <w:p>
      <w:pPr>
        <w:spacing w:after="120"/>
        <w:jc w:val="both"/>
      </w:pPr>
      <w:r>
        <w:rPr>
          <w:rFonts w:ascii="Arial" w:cs="Arial" w:eastAsia="Arial" w:hAnsi="Arial"/>
          <w:sz w:val="24"/>
          <w:szCs w:val="24"/>
        </w:rPr>
        <w:t xml:space="preserve">5) спортивные комплексы и сооружения;</w:t>
      </w:r>
    </w:p>
    <w:p>
      <w:pPr>
        <w:spacing w:after="120"/>
        <w:jc w:val="both"/>
      </w:pPr>
      <w:r>
        <w:rPr>
          <w:rFonts w:ascii="Arial" w:cs="Arial" w:eastAsia="Arial" w:hAnsi="Arial"/>
          <w:sz w:val="24"/>
          <w:szCs w:val="24"/>
        </w:rPr>
        <w:t xml:space="preserve">6) жилой фонд (жилые дома и общежития);</w:t>
      </w:r>
    </w:p>
    <w:p>
      <w:pPr>
        <w:spacing w:after="120"/>
        <w:jc w:val="both"/>
      </w:pPr>
      <w:r>
        <w:rPr>
          <w:rFonts w:ascii="Arial" w:cs="Arial" w:eastAsia="Arial" w:hAnsi="Arial"/>
          <w:sz w:val="24"/>
          <w:szCs w:val="24"/>
        </w:rPr>
        <w:t xml:space="preserve">7) объекты, предназначенные для оказания коммунальных услуг (водоснабжение, канализация, электричество, горячее водо- и теплоснабжение, дороги, озеленение, очистные сооружения и другие общественные услуги).</w:t>
      </w:r>
    </w:p>
    <w:p>
      <w:pPr>
        <w:spacing w:after="120"/>
        <w:jc w:val="both"/>
      </w:pPr>
      <w:r>
        <w:rPr>
          <w:rFonts w:ascii="Arial" w:cs="Arial" w:eastAsia="Arial" w:hAnsi="Arial"/>
          <w:sz w:val="24"/>
          <w:szCs w:val="24"/>
        </w:rPr>
        <w:t xml:space="preserve">70. В ячейке 174 указывается сумма полученных компенсаций по расходам, ранее признанными вычетами. Налогоплательщик, имеющий в предыдущих периодах расходы, убытки или безнадежные долги и включивший их в Декларацию предыдущих периодов в виде вычетов, а в отчетном году получивший их возмещение, полученную сумму возмещения должен признать доходом и указать в данной ячейке.</w:t>
      </w:r>
    </w:p>
    <w:p>
      <w:pPr>
        <w:spacing w:after="120"/>
        <w:jc w:val="both"/>
      </w:pPr>
      <w:r>
        <w:rPr>
          <w:rFonts w:ascii="Arial" w:cs="Arial" w:eastAsia="Arial" w:hAnsi="Arial"/>
          <w:sz w:val="24"/>
          <w:szCs w:val="24"/>
        </w:rPr>
        <w:t xml:space="preserve">Пример: подрядчик по договору на строительство жилого дома понес дополнительные расходы, не предусмотренные сметой к договору, которые он отразил в составе произведенных расходов в предыдущем году. В отчетном году было достигнуто соглашение с заказчиком о возмещении этих расходов. Полученное возмещение подрядчик обязан признать доходом отчетного года.</w:t>
      </w:r>
    </w:p>
    <w:p>
      <w:pPr>
        <w:spacing w:after="120"/>
        <w:jc w:val="both"/>
      </w:pPr>
      <w:r>
        <w:rPr>
          <w:rFonts w:ascii="Arial" w:cs="Arial" w:eastAsia="Arial" w:hAnsi="Arial"/>
          <w:sz w:val="24"/>
          <w:szCs w:val="24"/>
        </w:rPr>
        <w:t xml:space="preserve">71. В ячейке 175 указываются другие доходы, полученные в течение отчетного года, не перечисленные выше и не относящиеся к необлагаемым доходам, указанным в приложении 3, включая долю прибыли Декларанта, полученную от деятельности простого товарищества. Такими доходами могут быть признаны:</w:t>
      </w:r>
    </w:p>
    <w:p>
      <w:pPr>
        <w:spacing w:after="120"/>
        <w:jc w:val="both"/>
      </w:pPr>
      <w:r>
        <w:rPr>
          <w:rFonts w:ascii="Arial" w:cs="Arial" w:eastAsia="Arial" w:hAnsi="Arial"/>
          <w:sz w:val="24"/>
          <w:szCs w:val="24"/>
        </w:rPr>
        <w:t xml:space="preserve">1) прибыль, полученная по договору простого товарищества, распределяемая между участниками согласно договору и учитываемая у каждого из товарищей отдельно;</w:t>
      </w:r>
    </w:p>
    <w:p>
      <w:pPr>
        <w:spacing w:after="120"/>
        <w:jc w:val="both"/>
      </w:pPr>
      <w:r>
        <w:rPr>
          <w:rFonts w:ascii="Arial" w:cs="Arial" w:eastAsia="Arial" w:hAnsi="Arial"/>
          <w:sz w:val="24"/>
          <w:szCs w:val="24"/>
        </w:rPr>
        <w:t xml:space="preserve">2) вознаграждение, получаемое доверительным управляющим в течение срока действия договора доверительного управления имуществом;</w:t>
      </w:r>
    </w:p>
    <w:p>
      <w:pPr>
        <w:spacing w:after="120"/>
        <w:jc w:val="both"/>
      </w:pPr>
      <w:r>
        <w:rPr>
          <w:rFonts w:ascii="Arial" w:cs="Arial" w:eastAsia="Arial" w:hAnsi="Arial"/>
          <w:sz w:val="24"/>
          <w:szCs w:val="24"/>
        </w:rPr>
        <w:t xml:space="preserve">3) суммы полученных пени, штрафов и санкций.</w:t>
      </w:r>
    </w:p>
    <w:p>
      <w:pPr>
        <w:spacing w:after="120"/>
        <w:jc w:val="both"/>
      </w:pPr>
      <w:r>
        <w:rPr>
          <w:rFonts w:ascii="Arial" w:cs="Arial" w:eastAsia="Arial" w:hAnsi="Arial"/>
          <w:sz w:val="24"/>
          <w:szCs w:val="24"/>
        </w:rPr>
        <w:t xml:space="preserve">Например, если суммы, ранее направленные для создания резерва, включались в вычеты, а затем последовало сокращение резерва, то такое сокращение в целях заполнения Декларации признается доходом и указывается в данной ячейке.</w:t>
      </w:r>
    </w:p>
    <w:p>
      <w:pPr>
        <w:spacing w:after="120"/>
        <w:jc w:val="both"/>
      </w:pPr>
      <w:r>
        <w:rPr>
          <w:rFonts w:ascii="Arial" w:cs="Arial" w:eastAsia="Arial" w:hAnsi="Arial"/>
          <w:sz w:val="24"/>
          <w:szCs w:val="24"/>
        </w:rPr>
        <w:t xml:space="preserve">Примечание: несмотря на то, что согласно законодательству Кыргызской Республики о бухгалтерском учете указанное сокращение резерва может либо увеличивать доходы, либо уменьшать расходы, установление вышеназванного правила обусловлено особенностью структуры формы приложения 2 .</w:t>
      </w:r>
    </w:p>
    <w:p>
      <w:pPr>
        <w:spacing w:after="120"/>
        <w:jc w:val="both"/>
      </w:pPr>
      <w:r>
        <w:rPr>
          <w:rFonts w:ascii="Arial" w:cs="Arial" w:eastAsia="Arial" w:hAnsi="Arial"/>
          <w:sz w:val="24"/>
          <w:szCs w:val="24"/>
        </w:rPr>
        <w:t xml:space="preserve">72. В ячейке 176 указывается сумма совокупного годового дохода, полученного организацией за отчетный год. В данную ячейку вносится общая сумма значений всех ячеек со 150 по 175. Полученное значение данной ячейки приложения переносится в ячейку 050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Заполнение приложения 2</w:t>
      </w:r>
    </w:p>
    <w:p>
      <w:pPr>
        <w:spacing w:after="120"/>
        <w:jc w:val="both"/>
      </w:pPr>
      <w:r>
        <w:rPr>
          <w:rFonts w:ascii="Arial" w:cs="Arial" w:eastAsia="Arial" w:hAnsi="Arial"/>
          <w:sz w:val="24"/>
          <w:szCs w:val="24"/>
        </w:rPr>
        <w:t xml:space="preserve">«Расходы, подлежащие вычету» (FORM STI – 101 - 002)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Расходы налогоплательщика указываются в настоящем приложении, если эти расходы связаны с получением дохода от предпринимательской деятельности организации в отчетном году.</w:t>
      </w:r>
    </w:p>
    <w:p>
      <w:pPr>
        <w:spacing w:after="120"/>
        <w:jc w:val="both"/>
      </w:pPr>
      <w:r>
        <w:rPr>
          <w:rFonts w:ascii="Arial" w:cs="Arial" w:eastAsia="Arial" w:hAnsi="Arial"/>
          <w:sz w:val="24"/>
          <w:szCs w:val="24"/>
        </w:rPr>
        <w:t xml:space="preserve">Примечание: расходы, которые связаны с доходами, указанными в приложениях 3 и 7, не указываются в данном приложении.</w:t>
      </w:r>
    </w:p>
    <w:p>
      <w:pPr>
        <w:spacing w:after="120"/>
        <w:jc w:val="both"/>
      </w:pPr>
      <w:r>
        <w:rPr>
          <w:rFonts w:ascii="Arial" w:cs="Arial" w:eastAsia="Arial" w:hAnsi="Arial"/>
          <w:sz w:val="24"/>
          <w:szCs w:val="24"/>
        </w:rPr>
        <w:t xml:space="preserve">74. В ячейке 250 указываются расходы, направленные на получение дохода. Налогоплательщик имеет право отнести на вычеты любые документально подтвержденные расходы, связанные с получением дохода, а также превышение отрицательной суммы курсовой разницы над суммой положительной курсовой разницы. Исключение составляют расходы, не подлежащие вычету, указанные в статье 209 Налогового кодекса.</w:t>
      </w:r>
    </w:p>
    <w:p>
      <w:pPr>
        <w:spacing w:after="120"/>
        <w:jc w:val="both"/>
      </w:pPr>
      <w:r>
        <w:rPr>
          <w:rFonts w:ascii="Arial" w:cs="Arial" w:eastAsia="Arial" w:hAnsi="Arial"/>
          <w:sz w:val="24"/>
          <w:szCs w:val="24"/>
        </w:rPr>
        <w:t xml:space="preserve">Примечание: документально подтвержденными расходами признаются расходы, подтвержденные документами, перечень, форма и реквизиты которых установлены нормативными правовыми актами Кыргызской Республики, которые позволяют определить размер и характер сделки и идентифицировать ее участников.</w:t>
      </w:r>
    </w:p>
    <w:p>
      <w:pPr>
        <w:spacing w:after="120"/>
        <w:jc w:val="both"/>
      </w:pPr>
      <w:r>
        <w:rPr>
          <w:rFonts w:ascii="Arial" w:cs="Arial" w:eastAsia="Arial" w:hAnsi="Arial"/>
          <w:sz w:val="24"/>
          <w:szCs w:val="24"/>
        </w:rPr>
        <w:t xml:space="preserve">В данную ячейку не вносятся:</w:t>
      </w:r>
    </w:p>
    <w:p>
      <w:pPr>
        <w:spacing w:after="120"/>
        <w:jc w:val="both"/>
      </w:pPr>
      <w:r>
        <w:rPr>
          <w:rFonts w:ascii="Arial" w:cs="Arial" w:eastAsia="Arial" w:hAnsi="Arial"/>
          <w:sz w:val="24"/>
          <w:szCs w:val="24"/>
        </w:rPr>
        <w:t xml:space="preserve">1) расходы, связанные с производством, приобретением и установкой основных средств, и другие капитальные расходы, поскольку они вычитаются через налоговую амортизацию;</w:t>
      </w:r>
    </w:p>
    <w:p>
      <w:pPr>
        <w:spacing w:after="120"/>
        <w:jc w:val="both"/>
      </w:pPr>
      <w:r>
        <w:rPr>
          <w:rFonts w:ascii="Arial" w:cs="Arial" w:eastAsia="Arial" w:hAnsi="Arial"/>
          <w:sz w:val="24"/>
          <w:szCs w:val="24"/>
        </w:rPr>
        <w:t xml:space="preserve">2) налоговые санкции, пени и проценты, выплачиваемые в бюджет и бюджет Социального фонда Кыргызской Республики, источником которых является прибыль организации после налогообложения;</w:t>
      </w:r>
    </w:p>
    <w:p>
      <w:pPr>
        <w:spacing w:after="120"/>
        <w:jc w:val="both"/>
      </w:pPr>
      <w:r>
        <w:rPr>
          <w:rFonts w:ascii="Arial" w:cs="Arial" w:eastAsia="Arial" w:hAnsi="Arial"/>
          <w:sz w:val="24"/>
          <w:szCs w:val="24"/>
        </w:rPr>
        <w:t xml:space="preserve">3) следующие налоги, подлежащие уплате в бюджет Кыргызской Республики:</w:t>
      </w:r>
    </w:p>
    <w:p>
      <w:pPr>
        <w:spacing w:after="120"/>
        <w:jc w:val="both"/>
      </w:pPr>
      <w:r>
        <w:rPr>
          <w:rFonts w:ascii="Arial" w:cs="Arial" w:eastAsia="Arial" w:hAnsi="Arial"/>
          <w:sz w:val="24"/>
          <w:szCs w:val="24"/>
        </w:rPr>
        <w:t xml:space="preserve">а) налог на прибыль;</w:t>
      </w:r>
    </w:p>
    <w:p>
      <w:pPr>
        <w:spacing w:after="120"/>
        <w:jc w:val="both"/>
      </w:pPr>
      <w:r>
        <w:rPr>
          <w:rFonts w:ascii="Arial" w:cs="Arial" w:eastAsia="Arial" w:hAnsi="Arial"/>
          <w:sz w:val="24"/>
          <w:szCs w:val="24"/>
        </w:rPr>
        <w:t xml:space="preserve">б) НДС, за исключением НДС, не подлежащего зачету в соответствии с Налоговым кодексом, поскольку он увеличивает учетную стоимость приобретенных материальных ресурсов;</w:t>
      </w:r>
    </w:p>
    <w:p>
      <w:pPr>
        <w:spacing w:after="120"/>
        <w:jc w:val="both"/>
      </w:pPr>
      <w:r>
        <w:rPr>
          <w:rFonts w:ascii="Arial" w:cs="Arial" w:eastAsia="Arial" w:hAnsi="Arial"/>
          <w:sz w:val="24"/>
          <w:szCs w:val="24"/>
        </w:rPr>
        <w:t xml:space="preserve">в) налог с продаж, за исключением налога с продаж, уплачиваемого поставщикам при приобретении товаров, работ и услуг, поскольку он увеличивает учетную стоимость приобретенных материальных ресурсов;</w:t>
      </w:r>
    </w:p>
    <w:p>
      <w:pPr>
        <w:spacing w:after="120"/>
        <w:jc w:val="both"/>
      </w:pPr>
      <w:r>
        <w:rPr>
          <w:rFonts w:ascii="Arial" w:cs="Arial" w:eastAsia="Arial" w:hAnsi="Arial"/>
          <w:sz w:val="24"/>
          <w:szCs w:val="24"/>
        </w:rPr>
        <w:t xml:space="preserve">г) акцизный налог, за исключением акцизного налога, не подлежащего вычету в соответствии с Налоговым кодексом, поскольку он увеличивает учетную стоимость приобретенных материальных ресурсов;</w:t>
      </w:r>
    </w:p>
    <w:p>
      <w:pPr>
        <w:spacing w:after="120"/>
        <w:jc w:val="both"/>
      </w:pPr>
      <w:r>
        <w:rPr>
          <w:rFonts w:ascii="Arial" w:cs="Arial" w:eastAsia="Arial" w:hAnsi="Arial"/>
          <w:sz w:val="24"/>
          <w:szCs w:val="24"/>
        </w:rPr>
        <w:t xml:space="preserve">4) расходы в виде отчислений в резервы, за исключением резервов, установленных статьей 207 Налогового кодекса;</w:t>
      </w:r>
    </w:p>
    <w:p>
      <w:pPr>
        <w:spacing w:after="120"/>
        <w:jc w:val="both"/>
      </w:pPr>
      <w:r>
        <w:rPr>
          <w:rFonts w:ascii="Arial" w:cs="Arial" w:eastAsia="Arial" w:hAnsi="Arial"/>
          <w:sz w:val="24"/>
          <w:szCs w:val="24"/>
        </w:rPr>
        <w:t xml:space="preserve">5) превышение расходов, понесенных при эксплуатации объектов социальной сферы по перечню, утверждаемому Правительством Кыргызской Республики, над доходами, полученными при эксплуатации этих объектов;</w:t>
      </w:r>
    </w:p>
    <w:p>
      <w:pPr>
        <w:spacing w:after="120"/>
        <w:jc w:val="both"/>
      </w:pPr>
      <w:r>
        <w:rPr>
          <w:rFonts w:ascii="Arial" w:cs="Arial" w:eastAsia="Arial" w:hAnsi="Arial"/>
          <w:sz w:val="24"/>
          <w:szCs w:val="24"/>
        </w:rPr>
        <w:t xml:space="preserve">6) любые расходы, понесенные за иное лицо, кроме случаев, когда существует подтверждение факта того, что данные расходы были произведены с целью оплаты оказанных услуг и вызваны производственной необходимостью;</w:t>
      </w:r>
    </w:p>
    <w:p>
      <w:pPr>
        <w:spacing w:after="120"/>
        <w:jc w:val="both"/>
      </w:pPr>
      <w:r>
        <w:rPr>
          <w:rFonts w:ascii="Arial" w:cs="Arial" w:eastAsia="Arial" w:hAnsi="Arial"/>
          <w:sz w:val="24"/>
          <w:szCs w:val="24"/>
        </w:rPr>
        <w:t xml:space="preserve">7) расходы на приобретение, управление или содержание любого вида собственности, доход от которой не подлежит налогообложению в соответствии с Налоговым кодексом;</w:t>
      </w:r>
    </w:p>
    <w:p>
      <w:pPr>
        <w:spacing w:after="120"/>
        <w:jc w:val="both"/>
      </w:pPr>
      <w:r>
        <w:rPr>
          <w:rFonts w:ascii="Arial" w:cs="Arial" w:eastAsia="Arial" w:hAnsi="Arial"/>
          <w:sz w:val="24"/>
          <w:szCs w:val="24"/>
        </w:rPr>
        <w:t xml:space="preserve">8) любые убытки, прямо или косвенно связанные с продажей или обменом собственности организации с взаимозависимым субъектом;</w:t>
      </w:r>
    </w:p>
    <w:p>
      <w:pPr>
        <w:spacing w:after="120"/>
        <w:jc w:val="both"/>
      </w:pPr>
      <w:r>
        <w:rPr>
          <w:rFonts w:ascii="Arial" w:cs="Arial" w:eastAsia="Arial" w:hAnsi="Arial"/>
          <w:sz w:val="24"/>
          <w:szCs w:val="24"/>
        </w:rPr>
        <w:t xml:space="preserve">9) расходы организации в отношении третьих лиц, которые не связаны с предпринимательской деятельностью данной организации;</w:t>
      </w:r>
    </w:p>
    <w:p>
      <w:pPr>
        <w:spacing w:after="120"/>
        <w:jc w:val="both"/>
      </w:pPr>
      <w:r>
        <w:rPr>
          <w:rFonts w:ascii="Arial" w:cs="Arial" w:eastAsia="Arial" w:hAnsi="Arial"/>
          <w:sz w:val="24"/>
          <w:szCs w:val="24"/>
        </w:rPr>
        <w:t xml:space="preserve">10) расходы на оплату ценовых разниц при реализации по льготным ценам или тарифам, или по ценам ниже рыночных товаров, работ, услуг работникам, кроме обложенных подоходным налогом налоговым агентом.</w:t>
      </w:r>
    </w:p>
    <w:p>
      <w:pPr>
        <w:spacing w:after="120"/>
        <w:jc w:val="both"/>
      </w:pPr>
      <w:r>
        <w:rPr>
          <w:rFonts w:ascii="Arial" w:cs="Arial" w:eastAsia="Arial" w:hAnsi="Arial"/>
          <w:sz w:val="24"/>
          <w:szCs w:val="24"/>
        </w:rPr>
        <w:t xml:space="preserve">Если организация начислила подоходный налог на ценовую разницу при реализации по льготным ценам или тарифам, или по ценам ниже рыночных товаров, работ, услуг работникам субъекта, то она имеет право отнести указанные расходы на вычеты;</w:t>
      </w:r>
    </w:p>
    <w:p>
      <w:pPr>
        <w:spacing w:after="120"/>
        <w:jc w:val="both"/>
      </w:pPr>
      <w:r>
        <w:rPr>
          <w:rFonts w:ascii="Arial" w:cs="Arial" w:eastAsia="Arial" w:hAnsi="Arial"/>
          <w:sz w:val="24"/>
          <w:szCs w:val="24"/>
        </w:rPr>
        <w:t xml:space="preserve">11) сумма естественных потерь и убыли сверх норм, установленных действующими на территории Кыргызской Республики нормативными правовыми актами;</w:t>
      </w:r>
    </w:p>
    <w:p>
      <w:pPr>
        <w:spacing w:after="120"/>
        <w:jc w:val="both"/>
      </w:pPr>
      <w:r>
        <w:rPr>
          <w:rFonts w:ascii="Arial" w:cs="Arial" w:eastAsia="Arial" w:hAnsi="Arial"/>
          <w:sz w:val="24"/>
          <w:szCs w:val="24"/>
        </w:rPr>
        <w:t xml:space="preserve">12) расходы, характер и размер которых не могут быть определены подтверждающими документами, за исключением случаев, установленных Налоговым кодексом;</w:t>
      </w:r>
    </w:p>
    <w:p>
      <w:pPr>
        <w:spacing w:after="120"/>
        <w:jc w:val="both"/>
      </w:pPr>
      <w:r>
        <w:rPr>
          <w:rFonts w:ascii="Arial" w:cs="Arial" w:eastAsia="Arial" w:hAnsi="Arial"/>
          <w:sz w:val="24"/>
          <w:szCs w:val="24"/>
        </w:rPr>
        <w:t xml:space="preserve">13) суммы расходов, не связанных с получением дохода;</w:t>
      </w:r>
    </w:p>
    <w:p>
      <w:pPr>
        <w:spacing w:after="120"/>
        <w:jc w:val="both"/>
      </w:pPr>
      <w:r>
        <w:rPr>
          <w:rFonts w:ascii="Arial" w:cs="Arial" w:eastAsia="Arial" w:hAnsi="Arial"/>
          <w:sz w:val="24"/>
          <w:szCs w:val="24"/>
        </w:rPr>
        <w:t xml:space="preserve">14) расходы, связанные с получением доходов, не облагаемых налогом на прибыль;</w:t>
      </w:r>
    </w:p>
    <w:p>
      <w:pPr>
        <w:spacing w:after="120"/>
        <w:jc w:val="both"/>
      </w:pPr>
      <w:r>
        <w:rPr>
          <w:rFonts w:ascii="Arial" w:cs="Arial" w:eastAsia="Arial" w:hAnsi="Arial"/>
          <w:sz w:val="24"/>
          <w:szCs w:val="24"/>
        </w:rPr>
        <w:t xml:space="preserve">15) суточные, выплаченные работникам организации за время нахождения в командировке, в размере, превышающем пределы, установленные Правительством Кыргызской Республики, за исключением сумм превышения, обложенных подоходным налогом.</w:t>
      </w:r>
    </w:p>
    <w:p>
      <w:pPr>
        <w:spacing w:after="120"/>
        <w:jc w:val="both"/>
      </w:pPr>
      <w:r>
        <w:rPr>
          <w:rFonts w:ascii="Arial" w:cs="Arial" w:eastAsia="Arial" w:hAnsi="Arial"/>
          <w:sz w:val="24"/>
          <w:szCs w:val="24"/>
        </w:rPr>
        <w:t xml:space="preserve">Если организация начислила подоходный налог на сумму суточных, выплаченных своим работникам свыше установленного предела, она имеет право отнести указанные расходы на вычеты, которые отражаются в ячейке 251;</w:t>
      </w:r>
    </w:p>
    <w:p>
      <w:pPr>
        <w:spacing w:after="120"/>
        <w:jc w:val="both"/>
      </w:pPr>
      <w:r>
        <w:rPr>
          <w:rFonts w:ascii="Arial" w:cs="Arial" w:eastAsia="Arial" w:hAnsi="Arial"/>
          <w:sz w:val="24"/>
          <w:szCs w:val="24"/>
        </w:rPr>
        <w:t xml:space="preserve">16) расходы на организацию банкетов, досуга, развлечений или отдыха;</w:t>
      </w:r>
    </w:p>
    <w:p>
      <w:pPr>
        <w:spacing w:after="120"/>
        <w:jc w:val="both"/>
      </w:pPr>
      <w:r>
        <w:rPr>
          <w:rFonts w:ascii="Arial" w:cs="Arial" w:eastAsia="Arial" w:hAnsi="Arial"/>
          <w:sz w:val="24"/>
          <w:szCs w:val="24"/>
        </w:rPr>
        <w:t xml:space="preserve">17) расходы организации - эмитента, возникшие при получении имущества в качестве оплаты за размещаемые им акции (доли, паи).</w:t>
      </w:r>
    </w:p>
    <w:p>
      <w:pPr>
        <w:spacing w:after="120"/>
        <w:jc w:val="both"/>
      </w:pPr>
      <w:r>
        <w:rPr>
          <w:rFonts w:ascii="Arial" w:cs="Arial" w:eastAsia="Arial" w:hAnsi="Arial"/>
          <w:sz w:val="24"/>
          <w:szCs w:val="24"/>
        </w:rPr>
        <w:t xml:space="preserve">75. В ячейке 251 указываются вычеты сумм расходов при служебных командировках и по представительским расходам. К расходам по служебным командировкам, подлежащим вычету, относятся:</w:t>
      </w:r>
    </w:p>
    <w:p>
      <w:pPr>
        <w:spacing w:after="120"/>
        <w:jc w:val="both"/>
      </w:pPr>
      <w:r>
        <w:rPr>
          <w:rFonts w:ascii="Arial" w:cs="Arial" w:eastAsia="Arial" w:hAnsi="Arial"/>
          <w:sz w:val="24"/>
          <w:szCs w:val="24"/>
        </w:rPr>
        <w:t xml:space="preserve">1) фактически произведенные расходы на проезд к месту командировки и обратно, включая оплату расходов за резервирование, в соответствии с подтверждающими документами. При отсутствии подтверждающих документов вычету подлежат расходы на проезд в пределах норм, установленных Правительством Кыргызской Республики;</w:t>
      </w:r>
    </w:p>
    <w:p>
      <w:pPr>
        <w:spacing w:after="120"/>
        <w:jc w:val="both"/>
      </w:pPr>
      <w:r>
        <w:rPr>
          <w:rFonts w:ascii="Arial" w:cs="Arial" w:eastAsia="Arial" w:hAnsi="Arial"/>
          <w:sz w:val="24"/>
          <w:szCs w:val="24"/>
        </w:rPr>
        <w:t xml:space="preserve">2) фактически произведенные расходы на проживание, включая оплату расходов за резервирование в соответствии с подтверждающими документами. При отсутствии подтверждающих документов вычету подлежат расходы по найму жилого помещения в пределах норм, установленных Правительством Кыргызской Республики;</w:t>
      </w:r>
    </w:p>
    <w:p>
      <w:pPr>
        <w:spacing w:after="120"/>
        <w:jc w:val="both"/>
      </w:pPr>
      <w:r>
        <w:rPr>
          <w:rFonts w:ascii="Arial" w:cs="Arial" w:eastAsia="Arial" w:hAnsi="Arial"/>
          <w:sz w:val="24"/>
          <w:szCs w:val="24"/>
        </w:rPr>
        <w:t xml:space="preserve">3) суточные, выплачиваемые за время нахождения в командировке на территории и вне территории Кыргызской Республики, в пределах норм, установленных Правительством Кыргызской Республики. Также подлежит вычету сумма суточных, выплаченных своим работникам свыше установленного предела, если налогоплательщик начислил на эту сумму превышения подоходный налог.</w:t>
      </w:r>
    </w:p>
    <w:p>
      <w:pPr>
        <w:spacing w:after="120"/>
        <w:jc w:val="both"/>
      </w:pPr>
      <w:r>
        <w:rPr>
          <w:rFonts w:ascii="Arial" w:cs="Arial" w:eastAsia="Arial" w:hAnsi="Arial"/>
          <w:sz w:val="24"/>
          <w:szCs w:val="24"/>
        </w:rPr>
        <w:t xml:space="preserve">Примечание: командировочные расходы могут производиться только в адрес работников налогоплательщика, что предусмотрено Трудовым кодексом Кыргызской Республики. Кроме командировочных, которые выплачиваются работникам, налогоплательщик может нести расходы, связанные с возмещением затрат членам органа управления организации, которые они понесли при выполнении своих обязанностей. Указанные расходы также признаются вычетами: по проезду, проживанию согласно представленным документам и суточные в пределах норм, установленных для командировок, и отражаются в ячейке 250 приложения 2 как расходы, направленные на получение доходов.</w:t>
      </w:r>
    </w:p>
    <w:p>
      <w:pPr>
        <w:spacing w:after="120"/>
        <w:jc w:val="both"/>
      </w:pPr>
      <w:r>
        <w:rPr>
          <w:rFonts w:ascii="Arial" w:cs="Arial" w:eastAsia="Arial" w:hAnsi="Arial"/>
          <w:sz w:val="24"/>
          <w:szCs w:val="24"/>
        </w:rPr>
        <w:t xml:space="preserve">К представительским расходам относятся расходы, направленные организацией на прием или обслуживание лиц:</w:t>
      </w:r>
    </w:p>
    <w:p>
      <w:pPr>
        <w:spacing w:after="120"/>
        <w:jc w:val="both"/>
      </w:pPr>
      <w:r>
        <w:rPr>
          <w:rFonts w:ascii="Arial" w:cs="Arial" w:eastAsia="Arial" w:hAnsi="Arial"/>
          <w:sz w:val="24"/>
          <w:szCs w:val="24"/>
        </w:rPr>
        <w:t xml:space="preserve">1) участвующих в переговорах для установления или поддержания взаимного сотрудничества;</w:t>
      </w:r>
    </w:p>
    <w:p>
      <w:pPr>
        <w:spacing w:after="120"/>
        <w:jc w:val="both"/>
      </w:pPr>
      <w:r>
        <w:rPr>
          <w:rFonts w:ascii="Arial" w:cs="Arial" w:eastAsia="Arial" w:hAnsi="Arial"/>
          <w:sz w:val="24"/>
          <w:szCs w:val="24"/>
        </w:rPr>
        <w:t xml:space="preserve">2) участников, прибывших на заседание совета директоров для проведения общего собрания акционеров. К таким расходам можно отнести транспортное обеспечение, гостиничное обслуживание, услуги переводчиков, приглашенных на заседание. Данные расходы должны быть связаны с получением дохода и подтверждаться документами.</w:t>
      </w:r>
    </w:p>
    <w:p>
      <w:pPr>
        <w:spacing w:after="120"/>
        <w:jc w:val="both"/>
      </w:pPr>
      <w:r>
        <w:rPr>
          <w:rFonts w:ascii="Arial" w:cs="Arial" w:eastAsia="Arial" w:hAnsi="Arial"/>
          <w:sz w:val="24"/>
          <w:szCs w:val="24"/>
        </w:rPr>
        <w:t xml:space="preserve">76. В ячейке 252 указывается сумма вычитаемых расходов на подготовку и переподготовку кадров. Расходы, направленные на подготовку, повышение квалификации и переподготовку кадров, признаются вычетами, связанными с получением дохода организации, при соблюдении следующих условий:</w:t>
      </w:r>
    </w:p>
    <w:p>
      <w:pPr>
        <w:spacing w:after="120"/>
        <w:jc w:val="both"/>
      </w:pPr>
      <w:r>
        <w:rPr>
          <w:rFonts w:ascii="Arial" w:cs="Arial" w:eastAsia="Arial" w:hAnsi="Arial"/>
          <w:sz w:val="24"/>
          <w:szCs w:val="24"/>
        </w:rPr>
        <w:t xml:space="preserve">1) если программа подготовки и/или переподготовки способствует повышению квалификации или более эффективному использованию обучаемого специалиста в рамках деятельности налогоплательщика: обновлению теоретических и практических знаний специалистов в связи с повышением требований к уровню квалификации, необходимостью освоения современных методов решения профессиональных задач, дополнительных знаний, умений и навыков, необходимых для выполнения профессиональной деятельности;</w:t>
      </w:r>
    </w:p>
    <w:p>
      <w:pPr>
        <w:spacing w:after="120"/>
        <w:jc w:val="both"/>
      </w:pPr>
      <w:r>
        <w:rPr>
          <w:rFonts w:ascii="Arial" w:cs="Arial" w:eastAsia="Arial" w:hAnsi="Arial"/>
          <w:sz w:val="24"/>
          <w:szCs w:val="24"/>
        </w:rPr>
        <w:t xml:space="preserve">2) если подготовку и/или переподготовку проходят работники, состоящие в штате налогоплательщика, занятые полный рабочий день, возраст которых составляет 23 и более лет;</w:t>
      </w:r>
    </w:p>
    <w:p>
      <w:pPr>
        <w:spacing w:after="120"/>
        <w:jc w:val="both"/>
      </w:pPr>
      <w:r>
        <w:rPr>
          <w:rFonts w:ascii="Arial" w:cs="Arial" w:eastAsia="Arial" w:hAnsi="Arial"/>
          <w:sz w:val="24"/>
          <w:szCs w:val="24"/>
        </w:rPr>
        <w:t xml:space="preserve">3) если услуги по образованию оказываются отечественной организацией.</w:t>
      </w:r>
    </w:p>
    <w:p>
      <w:pPr>
        <w:spacing w:after="120"/>
        <w:jc w:val="both"/>
      </w:pPr>
      <w:r>
        <w:rPr>
          <w:rFonts w:ascii="Arial" w:cs="Arial" w:eastAsia="Arial" w:hAnsi="Arial"/>
          <w:sz w:val="24"/>
          <w:szCs w:val="24"/>
        </w:rPr>
        <w:t xml:space="preserve">77. В ячейке 253 указываются процентные расходы по кредитам и займам.</w:t>
      </w:r>
    </w:p>
    <w:p>
      <w:pPr>
        <w:spacing w:after="120"/>
        <w:jc w:val="both"/>
      </w:pPr>
      <w:r>
        <w:rPr>
          <w:rFonts w:ascii="Arial" w:cs="Arial" w:eastAsia="Arial" w:hAnsi="Arial"/>
          <w:sz w:val="24"/>
          <w:szCs w:val="24"/>
        </w:rPr>
        <w:t xml:space="preserve">Примечание: суммы выплаченных процентов в связи с приобретением или созданием амортизируемых основных средств или связанные с расходами, влияющими на изменение их стоимости до ввода их в эксплуатацию, не подлежат вычету из совокупного годового дохода, а увеличивают их стоимость, при применении налогоплательщиком стандартного порядка исчисления налоговой базы по налогу на прибыль. В случае применения налогоплательщиком упрощенного порядка исчисления налоговой базы по налогу на прибыль, процентные расходы, связанные с приобретением или созданием амортизируемых основных средств или связанные с расходами, влияющими на изменение их стоимости, не включаются в стоимость данных средств и подлежат вычету из совокупного годового дохода.</w:t>
      </w:r>
    </w:p>
    <w:p>
      <w:pPr>
        <w:spacing w:after="120"/>
        <w:jc w:val="both"/>
      </w:pPr>
      <w:r>
        <w:rPr>
          <w:rFonts w:ascii="Arial" w:cs="Arial" w:eastAsia="Arial" w:hAnsi="Arial"/>
          <w:sz w:val="24"/>
          <w:szCs w:val="24"/>
        </w:rPr>
        <w:t xml:space="preserve">Расходы налогоплательщика по уплате процентов по долговым обязательствам подлежат вычету в размере начисленных или уплаченных процентов в том случае, если полученная сумма была использована для осуществления предпринимательской деятельности.</w:t>
      </w:r>
    </w:p>
    <w:p>
      <w:pPr>
        <w:spacing w:after="120"/>
        <w:jc w:val="both"/>
      </w:pPr>
      <w:r>
        <w:rPr>
          <w:rFonts w:ascii="Arial" w:cs="Arial" w:eastAsia="Arial" w:hAnsi="Arial"/>
          <w:sz w:val="24"/>
          <w:szCs w:val="24"/>
        </w:rPr>
        <w:t xml:space="preserve">78. В ячейке 254 указываются вычеты по расходам на научно-исследовательские, опытно-конструкторские и проектно-изыскательские работы, но при этом не направленным на производство или приобретение основных средств. Расходы, связанные с приобретением и/или производством основных средств, добавляются к стоимости соответствующей группы основных средств и амортизируются.</w:t>
      </w:r>
    </w:p>
    <w:p>
      <w:pPr>
        <w:spacing w:after="120"/>
        <w:jc w:val="both"/>
      </w:pPr>
      <w:r>
        <w:rPr>
          <w:rFonts w:ascii="Arial" w:cs="Arial" w:eastAsia="Arial" w:hAnsi="Arial"/>
          <w:sz w:val="24"/>
          <w:szCs w:val="24"/>
        </w:rPr>
        <w:t xml:space="preserve">79. В ячейке 255 указывается сумма амортизационных начислений, исчисленных в соответствии со статьей 200 Налогового кодекса.</w:t>
      </w:r>
    </w:p>
    <w:p>
      <w:pPr>
        <w:spacing w:after="120"/>
        <w:jc w:val="both"/>
      </w:pPr>
      <w:r>
        <w:rPr>
          <w:rFonts w:ascii="Arial" w:cs="Arial" w:eastAsia="Arial" w:hAnsi="Arial"/>
          <w:sz w:val="24"/>
          <w:szCs w:val="24"/>
        </w:rPr>
        <w:t xml:space="preserve">Примечание: амортизации подлежат основные средства и нематериальные активы, находящиеся в собственности организации, введенные в эксплуатацию и используемые для получения дохода, стоимость которых составляет более 100-кратных расчетных показателей.</w:t>
      </w:r>
    </w:p>
    <w:p>
      <w:pPr>
        <w:spacing w:after="120"/>
        <w:jc w:val="both"/>
      </w:pPr>
      <w:r>
        <w:rPr>
          <w:rFonts w:ascii="Arial" w:cs="Arial" w:eastAsia="Arial" w:hAnsi="Arial"/>
          <w:sz w:val="24"/>
          <w:szCs w:val="24"/>
        </w:rPr>
        <w:t xml:space="preserve">Также амортизации подлежат основные средства, полученные организацией по договорам лизинга и используемые для получения дохода.</w:t>
      </w:r>
    </w:p>
    <w:p>
      <w:pPr>
        <w:spacing w:after="120"/>
        <w:jc w:val="both"/>
      </w:pPr>
      <w:r>
        <w:rPr>
          <w:rFonts w:ascii="Arial" w:cs="Arial" w:eastAsia="Arial" w:hAnsi="Arial"/>
          <w:sz w:val="24"/>
          <w:szCs w:val="24"/>
        </w:rPr>
        <w:t xml:space="preserve">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Кроме того, не подлежит амортизации имущество, стоимость которого полностью перенесена в отчетном году на стоимость готовой продукции, выполненных работ и оказанных услуг.</w:t>
      </w:r>
    </w:p>
    <w:p>
      <w:pPr>
        <w:spacing w:after="120"/>
        <w:jc w:val="both"/>
      </w:pPr>
      <w:r>
        <w:rPr>
          <w:rFonts w:ascii="Arial" w:cs="Arial" w:eastAsia="Arial" w:hAnsi="Arial"/>
          <w:sz w:val="24"/>
          <w:szCs w:val="24"/>
        </w:rPr>
        <w:t xml:space="preserve">Из состава амортизируемого имущества для заполнения данной ячейки исключаются основные средства:</w:t>
      </w:r>
    </w:p>
    <w:p>
      <w:pPr>
        <w:spacing w:after="120"/>
        <w:jc w:val="both"/>
      </w:pPr>
      <w:r>
        <w:rPr>
          <w:rFonts w:ascii="Arial" w:cs="Arial" w:eastAsia="Arial" w:hAnsi="Arial"/>
          <w:sz w:val="24"/>
          <w:szCs w:val="24"/>
        </w:rPr>
        <w:t xml:space="preserve">1) переданные по договорам в безвозмездное пользование;</w:t>
      </w:r>
    </w:p>
    <w:p>
      <w:pPr>
        <w:spacing w:after="120"/>
        <w:jc w:val="both"/>
      </w:pPr>
      <w:r>
        <w:rPr>
          <w:rFonts w:ascii="Arial" w:cs="Arial" w:eastAsia="Arial" w:hAnsi="Arial"/>
          <w:sz w:val="24"/>
          <w:szCs w:val="24"/>
        </w:rPr>
        <w:t xml:space="preserve">2) переведенные на консервацию;</w:t>
      </w:r>
    </w:p>
    <w:p>
      <w:pPr>
        <w:spacing w:after="120"/>
        <w:jc w:val="both"/>
      </w:pPr>
      <w:r>
        <w:rPr>
          <w:rFonts w:ascii="Arial" w:cs="Arial" w:eastAsia="Arial" w:hAnsi="Arial"/>
          <w:sz w:val="24"/>
          <w:szCs w:val="24"/>
        </w:rPr>
        <w:t xml:space="preserve">3) находящиеся на реконструкции и модернизации продолжительностью свыше 12 месяцев.</w:t>
      </w:r>
    </w:p>
    <w:p>
      <w:pPr>
        <w:spacing w:after="120"/>
        <w:jc w:val="both"/>
      </w:pPr>
      <w:r>
        <w:rPr>
          <w:rFonts w:ascii="Arial" w:cs="Arial" w:eastAsia="Arial" w:hAnsi="Arial"/>
          <w:sz w:val="24"/>
          <w:szCs w:val="24"/>
        </w:rPr>
        <w:t xml:space="preserve">Расходы, связанные с производством, приобретением и установкой основных средств, участвующих в получении доходов, и другие капитальные расходы не признаются вычетами.</w:t>
      </w:r>
    </w:p>
    <w:p>
      <w:pPr>
        <w:spacing w:after="120"/>
        <w:jc w:val="both"/>
      </w:pPr>
      <w:r>
        <w:rPr>
          <w:rFonts w:ascii="Arial" w:cs="Arial" w:eastAsia="Arial" w:hAnsi="Arial"/>
          <w:sz w:val="24"/>
          <w:szCs w:val="24"/>
        </w:rPr>
        <w:t xml:space="preserve">В стоимость основных средств для расчета налоговой амортизации не включаются:</w:t>
      </w:r>
    </w:p>
    <w:p>
      <w:pPr>
        <w:spacing w:after="120"/>
        <w:jc w:val="both"/>
      </w:pPr>
      <w:r>
        <w:rPr>
          <w:rFonts w:ascii="Arial" w:cs="Arial" w:eastAsia="Arial" w:hAnsi="Arial"/>
          <w:sz w:val="24"/>
          <w:szCs w:val="24"/>
        </w:rPr>
        <w:t xml:space="preserve">сумма страховых взносов, начисленная на фонд оплаты труда работников, участвовавших в создании основного средства;</w:t>
      </w:r>
    </w:p>
    <w:p>
      <w:pPr>
        <w:spacing w:after="120"/>
        <w:jc w:val="both"/>
      </w:pPr>
      <w:r>
        <w:rPr>
          <w:rFonts w:ascii="Arial" w:cs="Arial" w:eastAsia="Arial" w:hAnsi="Arial"/>
          <w:sz w:val="24"/>
          <w:szCs w:val="24"/>
        </w:rPr>
        <w:t xml:space="preserve">амортизация и расходы на ремонт основных средств, участвовавших в создании нового основного средства.</w:t>
      </w:r>
    </w:p>
    <w:p>
      <w:pPr>
        <w:spacing w:after="120"/>
        <w:jc w:val="both"/>
      </w:pPr>
      <w:r>
        <w:rPr>
          <w:rFonts w:ascii="Arial" w:cs="Arial" w:eastAsia="Arial" w:hAnsi="Arial"/>
          <w:sz w:val="24"/>
          <w:szCs w:val="24"/>
        </w:rPr>
        <w:t xml:space="preserve">Все основные средства, подлежащие амортизации, при исчислении налоговой базы по налогу на прибыль по стандартному порядку классифицируются по 6 группам, указанным в части 1 статьи 200 Налогового кодекса.</w:t>
      </w:r>
    </w:p>
    <w:p>
      <w:pPr>
        <w:spacing w:after="120"/>
        <w:jc w:val="both"/>
      </w:pPr>
      <w:r>
        <w:rPr>
          <w:rFonts w:ascii="Arial" w:cs="Arial" w:eastAsia="Arial" w:hAnsi="Arial"/>
          <w:sz w:val="24"/>
          <w:szCs w:val="24"/>
        </w:rPr>
        <w:t xml:space="preserve">При этом по 6 группе, предусматривающей расходы организации по горнодобывающей деятельности, допускается использование пониженной нормы амортизации. В случае, если организация решила применять пониженные нормы амортизации, то в последующие налоговые периоды она не имеет права изменить выбранную ставку амортизации.</w:t>
      </w:r>
    </w:p>
    <w:p>
      <w:pPr>
        <w:spacing w:after="120"/>
        <w:jc w:val="both"/>
      </w:pPr>
      <w:r>
        <w:rPr>
          <w:rFonts w:ascii="Arial" w:cs="Arial" w:eastAsia="Arial" w:hAnsi="Arial"/>
          <w:sz w:val="24"/>
          <w:szCs w:val="24"/>
        </w:rPr>
        <w:t xml:space="preserve">Переоценка основных средств, произведенная в соответствии с законодательством Кыргызской Республики о бухгалтерском учете, не увеличивает и не уменьшает налоговую стоимость группы.</w:t>
      </w:r>
    </w:p>
    <w:p>
      <w:pPr>
        <w:spacing w:after="120"/>
        <w:jc w:val="both"/>
      </w:pPr>
      <w:r>
        <w:rPr>
          <w:rFonts w:ascii="Arial" w:cs="Arial" w:eastAsia="Arial" w:hAnsi="Arial"/>
          <w:sz w:val="24"/>
          <w:szCs w:val="24"/>
        </w:rPr>
        <w:t xml:space="preserve">80. Вычету из дохода организации подлежат:</w:t>
      </w:r>
    </w:p>
    <w:p>
      <w:pPr>
        <w:spacing w:after="120"/>
        <w:jc w:val="both"/>
      </w:pPr>
      <w:r>
        <w:rPr>
          <w:rFonts w:ascii="Arial" w:cs="Arial" w:eastAsia="Arial" w:hAnsi="Arial"/>
          <w:sz w:val="24"/>
          <w:szCs w:val="24"/>
        </w:rPr>
        <w:t xml:space="preserve">1) амортизационные начисления на амортизируемые основные средства, исчисленные в соответствии с положениями Налогового кодекса;</w:t>
      </w:r>
    </w:p>
    <w:p>
      <w:pPr>
        <w:spacing w:after="120"/>
        <w:jc w:val="both"/>
      </w:pPr>
      <w:r>
        <w:rPr>
          <w:rFonts w:ascii="Arial" w:cs="Arial" w:eastAsia="Arial" w:hAnsi="Arial"/>
          <w:sz w:val="24"/>
          <w:szCs w:val="24"/>
        </w:rPr>
        <w:t xml:space="preserve">2) сумма налоговой стоимости группы на конец отчетного года, если она составила менее 100 расчетных показателей;</w:t>
      </w:r>
    </w:p>
    <w:p>
      <w:pPr>
        <w:spacing w:after="120"/>
        <w:jc w:val="both"/>
      </w:pPr>
      <w:r>
        <w:rPr>
          <w:rFonts w:ascii="Arial" w:cs="Arial" w:eastAsia="Arial" w:hAnsi="Arial"/>
          <w:sz w:val="24"/>
          <w:szCs w:val="24"/>
        </w:rPr>
        <w:t xml:space="preserve">3) остаточная налоговая стоимость группы, если все основные средства в группе были реализованы, переданы другому лицу или ликвидированы.</w:t>
      </w:r>
    </w:p>
    <w:p>
      <w:pPr>
        <w:spacing w:after="120"/>
        <w:jc w:val="both"/>
      </w:pPr>
      <w:r>
        <w:rPr>
          <w:rFonts w:ascii="Arial" w:cs="Arial" w:eastAsia="Arial" w:hAnsi="Arial"/>
          <w:sz w:val="24"/>
          <w:szCs w:val="24"/>
        </w:rPr>
        <w:t xml:space="preserve">81. В ячейке 256 при применении налогоплательщиком стандартного порядка исчисления налоговой базы по налогу на прибыль указываются вычеты расходов на ремонт в отношении следующих основных средств:</w:t>
      </w:r>
    </w:p>
    <w:p>
      <w:pPr>
        <w:spacing w:after="120"/>
        <w:jc w:val="both"/>
      </w:pPr>
      <w:r>
        <w:rPr>
          <w:rFonts w:ascii="Arial" w:cs="Arial" w:eastAsia="Arial" w:hAnsi="Arial"/>
          <w:sz w:val="24"/>
          <w:szCs w:val="24"/>
        </w:rPr>
        <w:t xml:space="preserve">1) находящихся на праве собственности у организации, а также являющихся предметом финансовой аренды (лизинга). Сумма расходов на ремонт, подлежащая вычету, ограничена 15 процентами налоговой стоимости группы на начало года, определяемой как налоговая стоимость группы на конец предыдущего года, уменьшенная на сумму амортизационных начислений, исчисленных в предыдущем году в отношении каждой группы основных средств. Сумма, превышающая ограничение в 15 процентов, рассматривается как стоимость основных средств, добавленная к стоимости группы, и увеличивает налоговую стоимость группы на конец отчетного года;</w:t>
      </w:r>
    </w:p>
    <w:p>
      <w:pPr>
        <w:spacing w:after="120"/>
        <w:jc w:val="both"/>
      </w:pPr>
      <w:r>
        <w:rPr>
          <w:rFonts w:ascii="Arial" w:cs="Arial" w:eastAsia="Arial" w:hAnsi="Arial"/>
          <w:sz w:val="24"/>
          <w:szCs w:val="24"/>
        </w:rPr>
        <w:t xml:space="preserve">2) арендуемых основных средств. При осуществлении ремонта арендуемого основного средства арендатор обязан сформировать группу на основе расходов на ремонт по каждому арендуемому основному средству и вычитать понесенные расходы на ремонт в виде амортизационных отчислений. Норма амортизации по каждой группе устанавливается организацией, исходя из срока действия договора аренды. После истечения срока действия договора аренды арендатор имеет право отнести на вычет остаточную налоговую стоимость группы и включить ее в данную ячейку.</w:t>
      </w:r>
    </w:p>
    <w:p>
      <w:pPr>
        <w:spacing w:after="120"/>
        <w:jc w:val="both"/>
      </w:pPr>
      <w:r>
        <w:rPr>
          <w:rFonts w:ascii="Arial" w:cs="Arial" w:eastAsia="Arial" w:hAnsi="Arial"/>
          <w:sz w:val="24"/>
          <w:szCs w:val="24"/>
        </w:rPr>
        <w:t xml:space="preserve">Примечание: в соответствии со статьей 199 Налогового кодекса в группу для расчета амортизации включаются основные средства, которые имеют стоимость более 100-кратных расчетных показателей; в случае, если расходы на ремонт составили менее 100-кратных расчетных показателей, то группа не формируется и сумма относится на вычеты в полном размере.</w:t>
      </w:r>
    </w:p>
    <w:p>
      <w:pPr>
        <w:spacing w:after="120"/>
        <w:jc w:val="both"/>
      </w:pPr>
      <w:r>
        <w:rPr>
          <w:rFonts w:ascii="Arial" w:cs="Arial" w:eastAsia="Arial" w:hAnsi="Arial"/>
          <w:sz w:val="24"/>
          <w:szCs w:val="24"/>
        </w:rPr>
        <w:t xml:space="preserve">При применении налогоплательщиком упрощенного порядка исчисления налоговой базы по налогу на прибыль расходы на ремонт основных средств относятся на вычеты без ограничения.</w:t>
      </w:r>
    </w:p>
    <w:p>
      <w:pPr>
        <w:spacing w:after="120"/>
        <w:jc w:val="both"/>
      </w:pPr>
      <w:r>
        <w:rPr>
          <w:rFonts w:ascii="Arial" w:cs="Arial" w:eastAsia="Arial" w:hAnsi="Arial"/>
          <w:sz w:val="24"/>
          <w:szCs w:val="24"/>
        </w:rPr>
        <w:t xml:space="preserve">82. В ячейке 257 указывается вычет отчислений по государственному социальному страхованию. На вычеты относится сумма страховых взносов по государственному социальному страхованию, установленных законодательством Кыргызской Республики. Налогоплательщик имеет право указывать в данной ячейке сумму страховых взносов, исчисленную от всех видов выплат работникам из средств работодателя, в размере, установленном законодательством о государственном социальном страховании.</w:t>
      </w:r>
    </w:p>
    <w:p>
      <w:pPr>
        <w:spacing w:after="120"/>
        <w:jc w:val="both"/>
      </w:pPr>
      <w:r>
        <w:rPr>
          <w:rFonts w:ascii="Arial" w:cs="Arial" w:eastAsia="Arial" w:hAnsi="Arial"/>
          <w:sz w:val="24"/>
          <w:szCs w:val="24"/>
        </w:rPr>
        <w:t xml:space="preserve">83. В ячейке 258 указываются убытки, возникающие при реализации ценных бумаг:</w:t>
      </w:r>
    </w:p>
    <w:p>
      <w:pPr>
        <w:spacing w:after="120"/>
        <w:jc w:val="both"/>
      </w:pPr>
      <w:r>
        <w:rPr>
          <w:rFonts w:ascii="Arial" w:cs="Arial" w:eastAsia="Arial" w:hAnsi="Arial"/>
          <w:sz w:val="24"/>
          <w:szCs w:val="24"/>
        </w:rPr>
        <w:t xml:space="preserve">отрицательная разница между стоимостью реализации и стоимостью приобретения по ценным бумагам, за исключением долговых ценных бумаг;</w:t>
      </w:r>
    </w:p>
    <w:p>
      <w:pPr>
        <w:spacing w:after="120"/>
        <w:jc w:val="both"/>
      </w:pPr>
      <w:r>
        <w:rPr>
          <w:rFonts w:ascii="Arial" w:cs="Arial" w:eastAsia="Arial" w:hAnsi="Arial"/>
          <w:sz w:val="24"/>
          <w:szCs w:val="24"/>
        </w:rPr>
        <w:t xml:space="preserve">отрицательная разница между стоимостью реализации и стоимостью приобретения с учетом амортизации дисконта и/или премии на дату реализации по долговым ценным бумагам.</w:t>
      </w:r>
    </w:p>
    <w:p>
      <w:pPr>
        <w:spacing w:after="120"/>
        <w:jc w:val="both"/>
      </w:pPr>
      <w:r>
        <w:rPr>
          <w:rFonts w:ascii="Arial" w:cs="Arial" w:eastAsia="Arial" w:hAnsi="Arial"/>
          <w:sz w:val="24"/>
          <w:szCs w:val="24"/>
        </w:rPr>
        <w:t xml:space="preserve">Примечание: в соответствии со статьей 205 Налогового кодекса полученные убытки от реализации ценных бумаг компенсируются за счет дохода, полученного при реализации других ценных бумаг. В этом случае сумма убытка, указанная в данной ячейке, может быть равна «0» или должна быть не более суммы, указанной в ячейке 161 приложения 1. Убытки от реализации ценных бумаг уменьшают доходы, полученные от реализации ценных бумаг.</w:t>
      </w:r>
    </w:p>
    <w:p>
      <w:pPr>
        <w:spacing w:after="120"/>
        <w:jc w:val="both"/>
      </w:pPr>
      <w:r>
        <w:rPr>
          <w:rFonts w:ascii="Arial" w:cs="Arial" w:eastAsia="Arial" w:hAnsi="Arial"/>
          <w:sz w:val="24"/>
          <w:szCs w:val="24"/>
        </w:rPr>
        <w:t xml:space="preserve">Если убытки не могут быть компенсированы в году, в котором они имели место, то они должны пролонгироваться на срок до 5 лет и компенсироваться за счет доходов от реализации ценных бумаг в течение этих 5 лет.</w:t>
      </w:r>
    </w:p>
    <w:p>
      <w:pPr>
        <w:spacing w:after="120"/>
        <w:jc w:val="both"/>
      </w:pPr>
      <w:r>
        <w:rPr>
          <w:rFonts w:ascii="Arial" w:cs="Arial" w:eastAsia="Arial" w:hAnsi="Arial"/>
          <w:sz w:val="24"/>
          <w:szCs w:val="24"/>
        </w:rPr>
        <w:t xml:space="preserve">84. В ячейке 259 указываются:</w:t>
      </w:r>
    </w:p>
    <w:p>
      <w:pPr>
        <w:spacing w:after="120"/>
        <w:jc w:val="both"/>
      </w:pPr>
      <w:r>
        <w:rPr>
          <w:rFonts w:ascii="Arial" w:cs="Arial" w:eastAsia="Arial" w:hAnsi="Arial"/>
          <w:sz w:val="24"/>
          <w:szCs w:val="24"/>
        </w:rPr>
        <w:t xml:space="preserve">1) суммы, направленные банком для создания резерва на покрытие кредитных и лизинговых потерь и убытков, используемых только для целей обеспечения выданных банковских кредитов и приравненных к ним активов, а также направленные в отчетном году в Фонд защиты депозитов. Порядок и размер отчислений в резерв банков устанавливаются Национальным банком Кыргызской Республики;</w:t>
      </w:r>
    </w:p>
    <w:p>
      <w:pPr>
        <w:spacing w:after="120"/>
        <w:jc w:val="both"/>
      </w:pPr>
      <w:r>
        <w:rPr>
          <w:rFonts w:ascii="Arial" w:cs="Arial" w:eastAsia="Arial" w:hAnsi="Arial"/>
          <w:sz w:val="24"/>
          <w:szCs w:val="24"/>
        </w:rPr>
        <w:t xml:space="preserve">2) суммы отчислений, направленные в отчетном году отечественной организацией, занимающейся страховой деятельностью, в страховые резервные фонды в соответствии с нормативами, утверждаемыми Правительством Кыргызской Республики.</w:t>
      </w:r>
    </w:p>
    <w:p>
      <w:pPr>
        <w:spacing w:after="120"/>
        <w:jc w:val="both"/>
      </w:pPr>
      <w:r>
        <w:rPr>
          <w:rFonts w:ascii="Arial" w:cs="Arial" w:eastAsia="Arial" w:hAnsi="Arial"/>
          <w:sz w:val="24"/>
          <w:szCs w:val="24"/>
        </w:rPr>
        <w:t xml:space="preserve">Примечание: расходы в виде отчислений в резервы для любых организаций, кроме перечисленных выше, на вычеты не относятся.</w:t>
      </w:r>
    </w:p>
    <w:p>
      <w:pPr>
        <w:spacing w:after="120"/>
        <w:jc w:val="both"/>
      </w:pPr>
      <w:r>
        <w:rPr>
          <w:rFonts w:ascii="Arial" w:cs="Arial" w:eastAsia="Arial" w:hAnsi="Arial"/>
          <w:sz w:val="24"/>
          <w:szCs w:val="24"/>
        </w:rPr>
        <w:t xml:space="preserve">85. В ячейке 260 указываются вычеты по расходам на благотворительность, которые включают безвозмездно переданные активы, включая денежные средства и имущество (по балансовой стоимости) в адрес:</w:t>
      </w:r>
    </w:p>
    <w:p>
      <w:pPr>
        <w:spacing w:after="120"/>
        <w:jc w:val="both"/>
      </w:pPr>
      <w:r>
        <w:rPr>
          <w:rFonts w:ascii="Arial" w:cs="Arial" w:eastAsia="Arial" w:hAnsi="Arial"/>
          <w:sz w:val="24"/>
          <w:szCs w:val="24"/>
        </w:rPr>
        <w:t xml:space="preserve">1) благотворительных организаций;</w:t>
      </w:r>
    </w:p>
    <w:p>
      <w:pPr>
        <w:spacing w:after="120"/>
        <w:jc w:val="both"/>
      </w:pPr>
      <w:r>
        <w:rPr>
          <w:rFonts w:ascii="Arial" w:cs="Arial" w:eastAsia="Arial" w:hAnsi="Arial"/>
          <w:sz w:val="24"/>
          <w:szCs w:val="24"/>
        </w:rPr>
        <w:t xml:space="preserve">2) организаций культуры и спорта вне зависимости от формы собственности.</w:t>
      </w:r>
    </w:p>
    <w:p>
      <w:pPr>
        <w:spacing w:after="120"/>
        <w:jc w:val="both"/>
      </w:pPr>
      <w:r>
        <w:rPr>
          <w:rFonts w:ascii="Arial" w:cs="Arial" w:eastAsia="Arial" w:hAnsi="Arial"/>
          <w:sz w:val="24"/>
          <w:szCs w:val="24"/>
        </w:rPr>
        <w:t xml:space="preserve">Примечание: благотворительная организация - некоммерческая организация:</w:t>
      </w:r>
    </w:p>
    <w:p>
      <w:pPr>
        <w:spacing w:after="120"/>
        <w:jc w:val="both"/>
      </w:pPr>
      <w:r>
        <w:rPr>
          <w:rFonts w:ascii="Arial" w:cs="Arial" w:eastAsia="Arial" w:hAnsi="Arial"/>
          <w:sz w:val="24"/>
          <w:szCs w:val="24"/>
        </w:rPr>
        <w:t xml:space="preserve">а) созданная и осуществляющая благотворительную деятельность в соответствии с законодательством Кыргызской Республики о некоммерческих организациях и благотворительной деятельности;</w:t>
      </w:r>
    </w:p>
    <w:p>
      <w:pPr>
        <w:spacing w:after="120"/>
        <w:jc w:val="both"/>
      </w:pPr>
      <w:r>
        <w:rPr>
          <w:rFonts w:ascii="Arial" w:cs="Arial" w:eastAsia="Arial" w:hAnsi="Arial"/>
          <w:sz w:val="24"/>
          <w:szCs w:val="24"/>
        </w:rPr>
        <w:t xml:space="preserve">б) не занимающаяся осуществлением деятельности по производству и/или реализации подакцизных товаров и деятельности букмекерских контор и тотализаторов;</w:t>
      </w:r>
    </w:p>
    <w:p>
      <w:pPr>
        <w:spacing w:after="120"/>
        <w:jc w:val="both"/>
      </w:pPr>
      <w:r>
        <w:rPr>
          <w:rFonts w:ascii="Arial" w:cs="Arial" w:eastAsia="Arial" w:hAnsi="Arial"/>
          <w:sz w:val="24"/>
          <w:szCs w:val="24"/>
        </w:rPr>
        <w:t xml:space="preserve">в) не участвующая в поддержке политических партий или выборных кампаний.</w:t>
      </w:r>
    </w:p>
    <w:p>
      <w:pPr>
        <w:spacing w:after="120"/>
        <w:jc w:val="both"/>
      </w:pPr>
      <w:r>
        <w:rPr>
          <w:rFonts w:ascii="Arial" w:cs="Arial" w:eastAsia="Arial" w:hAnsi="Arial"/>
          <w:sz w:val="24"/>
          <w:szCs w:val="24"/>
        </w:rPr>
        <w:t xml:space="preserve">Организациями культуры и спорта признаются коммерческие и некоммерческие организации независимо от форм собственности, основным видом деятельности которых является оказание услуг по сохранению, созданию, развитию, распространению и освоению культурных ценностей и предоставлению культурных благ, а также услуг в области физической культуры и спорта.</w:t>
      </w:r>
    </w:p>
    <w:p>
      <w:pPr>
        <w:spacing w:after="120"/>
        <w:jc w:val="both"/>
      </w:pPr>
      <w:r>
        <w:rPr>
          <w:rFonts w:ascii="Arial" w:cs="Arial" w:eastAsia="Arial" w:hAnsi="Arial"/>
          <w:sz w:val="24"/>
          <w:szCs w:val="24"/>
        </w:rPr>
        <w:t xml:space="preserve">Сумма вычета в течение отчетного года не должна превышать 10 процентов налогооблагаемой прибыли, указанной в ячейке 057 Декларации, при условии, что эти активы не используются в пользу налогоплательщика, их передавшего.</w:t>
      </w:r>
    </w:p>
    <w:p>
      <w:pPr>
        <w:spacing w:after="120"/>
        <w:jc w:val="both"/>
      </w:pPr>
      <w:r>
        <w:rPr>
          <w:rFonts w:ascii="Arial" w:cs="Arial" w:eastAsia="Arial" w:hAnsi="Arial"/>
          <w:sz w:val="24"/>
          <w:szCs w:val="24"/>
        </w:rPr>
        <w:t xml:space="preserve">86. В ячейке 261 указываются суммы налогов, уплаченные в течение отчетного года и подлежащие вычету:</w:t>
      </w:r>
    </w:p>
    <w:p>
      <w:pPr>
        <w:spacing w:after="120"/>
        <w:jc w:val="both"/>
      </w:pPr>
      <w:r>
        <w:rPr>
          <w:rFonts w:ascii="Arial" w:cs="Arial" w:eastAsia="Arial" w:hAnsi="Arial"/>
          <w:sz w:val="24"/>
          <w:szCs w:val="24"/>
        </w:rPr>
        <w:t xml:space="preserve">а) земельного налога;</w:t>
      </w:r>
    </w:p>
    <w:p>
      <w:pPr>
        <w:spacing w:after="120"/>
        <w:jc w:val="both"/>
      </w:pPr>
      <w:r>
        <w:rPr>
          <w:rFonts w:ascii="Arial" w:cs="Arial" w:eastAsia="Arial" w:hAnsi="Arial"/>
          <w:sz w:val="24"/>
          <w:szCs w:val="24"/>
        </w:rPr>
        <w:t xml:space="preserve">б) налога на имущество;</w:t>
      </w:r>
    </w:p>
    <w:p>
      <w:pPr>
        <w:spacing w:after="120"/>
        <w:jc w:val="both"/>
      </w:pPr>
      <w:r>
        <w:rPr>
          <w:rFonts w:ascii="Arial" w:cs="Arial" w:eastAsia="Arial" w:hAnsi="Arial"/>
          <w:sz w:val="24"/>
          <w:szCs w:val="24"/>
        </w:rPr>
        <w:t xml:space="preserve">в) НДС, не подлежащего зачету;</w:t>
      </w:r>
    </w:p>
    <w:p>
      <w:pPr>
        <w:spacing w:after="120"/>
        <w:jc w:val="both"/>
      </w:pPr>
      <w:r>
        <w:rPr>
          <w:rFonts w:ascii="Arial" w:cs="Arial" w:eastAsia="Arial" w:hAnsi="Arial"/>
          <w:sz w:val="24"/>
          <w:szCs w:val="24"/>
        </w:rPr>
        <w:t xml:space="preserve">г) налогов за пользование недрами.</w:t>
      </w:r>
    </w:p>
    <w:p>
      <w:pPr>
        <w:spacing w:after="120"/>
        <w:jc w:val="both"/>
      </w:pPr>
      <w:r>
        <w:rPr>
          <w:rFonts w:ascii="Arial" w:cs="Arial" w:eastAsia="Arial" w:hAnsi="Arial"/>
          <w:sz w:val="24"/>
          <w:szCs w:val="24"/>
        </w:rPr>
        <w:t xml:space="preserve">87. В ячейке 262 указываются другие вычеты, за исключением перечисленных в статье 209 Налогового кодекса и указанных в ячейках 250 - 261 данного приложения.</w:t>
      </w:r>
    </w:p>
    <w:p>
      <w:pPr>
        <w:spacing w:after="120"/>
        <w:jc w:val="both"/>
      </w:pPr>
      <w:r>
        <w:rPr>
          <w:rFonts w:ascii="Arial" w:cs="Arial" w:eastAsia="Arial" w:hAnsi="Arial"/>
          <w:sz w:val="24"/>
          <w:szCs w:val="24"/>
        </w:rPr>
        <w:t xml:space="preserve">Примечание: такими вычетами могут быть, например, расходы на социальные льготы работникам в соответствии с коллективным договором (материальная помощь, горячее питание, путевки и т.д.), компенсации, выплачиваемые членам органа управления. Указанные выплаты подлежат вычету в случае, если они были обложены подоходным налогом.</w:t>
      </w:r>
    </w:p>
    <w:p>
      <w:pPr>
        <w:spacing w:after="120"/>
        <w:jc w:val="both"/>
      </w:pPr>
      <w:r>
        <w:rPr>
          <w:rFonts w:ascii="Arial" w:cs="Arial" w:eastAsia="Arial" w:hAnsi="Arial"/>
          <w:sz w:val="24"/>
          <w:szCs w:val="24"/>
        </w:rPr>
        <w:t xml:space="preserve">88. В ячейке 263 указывается итоговая сумма значений ячеек с 250 по 262. Значение данной ячейки переносится в ячейку 051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Заполнение приложения 3</w:t>
      </w:r>
    </w:p>
    <w:p>
      <w:pPr>
        <w:spacing w:after="120"/>
        <w:jc w:val="both"/>
      </w:pPr>
      <w:r>
        <w:rPr>
          <w:rFonts w:ascii="Arial" w:cs="Arial" w:eastAsia="Arial" w:hAnsi="Arial"/>
          <w:sz w:val="24"/>
          <w:szCs w:val="24"/>
        </w:rPr>
        <w:t xml:space="preserve">«Необлагаемые доходы и доходы, обложенные у источника выплаты» (FORM STI – 101 - 003)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Приложение 3 состоит из двух разделов:</w:t>
      </w:r>
    </w:p>
    <w:p>
      <w:pPr>
        <w:spacing w:after="120"/>
        <w:jc w:val="both"/>
      </w:pPr>
      <w:r>
        <w:rPr>
          <w:rFonts w:ascii="Arial" w:cs="Arial" w:eastAsia="Arial" w:hAnsi="Arial"/>
          <w:sz w:val="24"/>
          <w:szCs w:val="24"/>
        </w:rPr>
        <w:t xml:space="preserve">I. Необлагаемые доходы.</w:t>
      </w:r>
    </w:p>
    <w:p>
      <w:pPr>
        <w:spacing w:after="120"/>
        <w:jc w:val="both"/>
      </w:pPr>
      <w:r>
        <w:rPr>
          <w:rFonts w:ascii="Arial" w:cs="Arial" w:eastAsia="Arial" w:hAnsi="Arial"/>
          <w:sz w:val="24"/>
          <w:szCs w:val="24"/>
        </w:rPr>
        <w:t xml:space="preserve">II. Доходы, обложенные у источника выплаты.</w:t>
      </w:r>
    </w:p>
    <w:p>
      <w:pPr>
        <w:spacing w:after="120"/>
        <w:jc w:val="both"/>
      </w:pPr>
      <w:r>
        <w:rPr>
          <w:rFonts w:ascii="Arial" w:cs="Arial" w:eastAsia="Arial" w:hAnsi="Arial"/>
          <w:sz w:val="24"/>
          <w:szCs w:val="24"/>
        </w:rPr>
        <w:t xml:space="preserve">90. В ячейке 350 указывается сумма:</w:t>
      </w:r>
    </w:p>
    <w:p>
      <w:pPr>
        <w:spacing w:after="120"/>
        <w:jc w:val="both"/>
      </w:pPr>
      <w:r>
        <w:rPr>
          <w:rFonts w:ascii="Arial" w:cs="Arial" w:eastAsia="Arial" w:hAnsi="Arial"/>
          <w:sz w:val="24"/>
          <w:szCs w:val="24"/>
        </w:rPr>
        <w:t xml:space="preserve">1) стоимости имущества, полученного в качестве паевого вклада;</w:t>
      </w:r>
    </w:p>
    <w:p>
      <w:pPr>
        <w:spacing w:after="120"/>
        <w:jc w:val="both"/>
      </w:pPr>
      <w:r>
        <w:rPr>
          <w:rFonts w:ascii="Arial" w:cs="Arial" w:eastAsia="Arial" w:hAnsi="Arial"/>
          <w:sz w:val="24"/>
          <w:szCs w:val="24"/>
        </w:rPr>
        <w:t xml:space="preserve">2) взноса в уставный капитал;</w:t>
      </w:r>
    </w:p>
    <w:p>
      <w:pPr>
        <w:spacing w:after="120"/>
        <w:jc w:val="both"/>
      </w:pPr>
      <w:r>
        <w:rPr>
          <w:rFonts w:ascii="Arial" w:cs="Arial" w:eastAsia="Arial" w:hAnsi="Arial"/>
          <w:sz w:val="24"/>
          <w:szCs w:val="24"/>
        </w:rPr>
        <w:t xml:space="preserve">3) дохода от реализации доли участия в организации в размере ее первоначальной стоимости.</w:t>
      </w:r>
    </w:p>
    <w:p>
      <w:pPr>
        <w:spacing w:after="120"/>
        <w:jc w:val="both"/>
      </w:pPr>
      <w:r>
        <w:rPr>
          <w:rFonts w:ascii="Arial" w:cs="Arial" w:eastAsia="Arial" w:hAnsi="Arial"/>
          <w:sz w:val="24"/>
          <w:szCs w:val="24"/>
        </w:rPr>
        <w:t xml:space="preserve">91. В ячейке 351 указывается сумма:</w:t>
      </w:r>
    </w:p>
    <w:p>
      <w:pPr>
        <w:spacing w:after="120"/>
        <w:jc w:val="both"/>
      </w:pPr>
      <w:r>
        <w:rPr>
          <w:rFonts w:ascii="Arial" w:cs="Arial" w:eastAsia="Arial" w:hAnsi="Arial"/>
          <w:sz w:val="24"/>
          <w:szCs w:val="24"/>
        </w:rPr>
        <w:t xml:space="preserve">1) стоимости безвозмездно полученных объектов социально-культурного, бытового и жилищно-коммунального назначения, дорог, электрических сетей, подстанций, котельных и тепловых сетей, водозаборных сооружений, горно-шахтного оборудования, объектов гражданской обороны, если данная организация относится к специализированным организациям, осуществляющим использование и эксплуатацию указанных объектов по назначению;</w:t>
      </w:r>
    </w:p>
    <w:p>
      <w:pPr>
        <w:spacing w:after="120"/>
        <w:jc w:val="both"/>
      </w:pPr>
      <w:r>
        <w:rPr>
          <w:rFonts w:ascii="Arial" w:cs="Arial" w:eastAsia="Arial" w:hAnsi="Arial"/>
          <w:sz w:val="24"/>
          <w:szCs w:val="24"/>
        </w:rPr>
        <w:t xml:space="preserve">2) стоимости безвозмездно полученных основных средств и денежных средств, если они получены на капитальные вложения по развитию собственной производственной базы организации по решению Правительства Кыргызской Республики или органов местного самоуправления;</w:t>
      </w:r>
    </w:p>
    <w:p>
      <w:pPr>
        <w:spacing w:after="120"/>
        <w:jc w:val="both"/>
      </w:pPr>
      <w:r>
        <w:rPr>
          <w:rFonts w:ascii="Arial" w:cs="Arial" w:eastAsia="Arial" w:hAnsi="Arial"/>
          <w:sz w:val="24"/>
          <w:szCs w:val="24"/>
        </w:rPr>
        <w:t xml:space="preserve">3) стоимости имущества, полученного простым товариществом в качестве вклада товарищей;</w:t>
      </w:r>
    </w:p>
    <w:p>
      <w:pPr>
        <w:spacing w:after="120"/>
        <w:jc w:val="both"/>
      </w:pPr>
      <w:r>
        <w:rPr>
          <w:rFonts w:ascii="Arial" w:cs="Arial" w:eastAsia="Arial" w:hAnsi="Arial"/>
          <w:sz w:val="24"/>
          <w:szCs w:val="24"/>
        </w:rPr>
        <w:t xml:space="preserve">4) стоимости имущества, принятого доверительным управляющим в доверительное управление.</w:t>
      </w:r>
    </w:p>
    <w:p>
      <w:pPr>
        <w:spacing w:after="120"/>
        <w:jc w:val="both"/>
      </w:pPr>
      <w:r>
        <w:rPr>
          <w:rFonts w:ascii="Arial" w:cs="Arial" w:eastAsia="Arial" w:hAnsi="Arial"/>
          <w:sz w:val="24"/>
          <w:szCs w:val="24"/>
        </w:rPr>
        <w:t xml:space="preserve">92. Ячейка 352 заполняется только некоммерческой организацией и включает сумму, которая является итогом значений ячеек с 353 по 357.</w:t>
      </w:r>
    </w:p>
    <w:p>
      <w:pPr>
        <w:spacing w:after="120"/>
        <w:jc w:val="both"/>
      </w:pPr>
      <w:r>
        <w:rPr>
          <w:rFonts w:ascii="Arial" w:cs="Arial" w:eastAsia="Arial" w:hAnsi="Arial"/>
          <w:sz w:val="24"/>
          <w:szCs w:val="24"/>
        </w:rPr>
        <w:t xml:space="preserve">93. В ячейке 353 указывается сумма поступивших в течение года членских и вступительных взносов в соответствии с их определениями, предусмотренными статьей 153 Налогового кодекса.</w:t>
      </w:r>
    </w:p>
    <w:p>
      <w:pPr>
        <w:spacing w:after="120"/>
        <w:jc w:val="both"/>
      </w:pPr>
      <w:r>
        <w:rPr>
          <w:rFonts w:ascii="Arial" w:cs="Arial" w:eastAsia="Arial" w:hAnsi="Arial"/>
          <w:sz w:val="24"/>
          <w:szCs w:val="24"/>
        </w:rPr>
        <w:t xml:space="preserve">94. В ячейке 354 указывается сумма полученной гуманитарной помощи и грантов, при условии их использования в уставных целях. Для заполнения данной ячейки следует пользоваться определениями, предусмотренными статьей 153 Налогового кодекса.</w:t>
      </w:r>
    </w:p>
    <w:p>
      <w:pPr>
        <w:spacing w:after="120"/>
        <w:jc w:val="both"/>
      </w:pPr>
      <w:r>
        <w:rPr>
          <w:rFonts w:ascii="Arial" w:cs="Arial" w:eastAsia="Arial" w:hAnsi="Arial"/>
          <w:sz w:val="24"/>
          <w:szCs w:val="24"/>
        </w:rPr>
        <w:t xml:space="preserve">95. В ячейке 355 указывается стоимость безвозмездно полученных активов при условии их использования в уставных целях. Некоммерческая организация может получать оборудование, здания, сооружения, мебель, технику и другие активы безвозмездно, стоимость которых относится к необлагаемым доходам.</w:t>
      </w:r>
    </w:p>
    <w:p>
      <w:pPr>
        <w:spacing w:after="120"/>
        <w:jc w:val="both"/>
      </w:pPr>
      <w:r>
        <w:rPr>
          <w:rFonts w:ascii="Arial" w:cs="Arial" w:eastAsia="Arial" w:hAnsi="Arial"/>
          <w:sz w:val="24"/>
          <w:szCs w:val="24"/>
        </w:rPr>
        <w:t xml:space="preserve">96. В ячейке 356 указывается оплата за услуги по техническому содержанию многоквартирных домов, получаемая некоммерческой организацией от собственников квартир за обслуживание зданий и сооружений.</w:t>
      </w:r>
    </w:p>
    <w:p>
      <w:pPr>
        <w:spacing w:after="120"/>
        <w:jc w:val="both"/>
      </w:pPr>
      <w:r>
        <w:rPr>
          <w:rFonts w:ascii="Arial" w:cs="Arial" w:eastAsia="Arial" w:hAnsi="Arial"/>
          <w:sz w:val="24"/>
          <w:szCs w:val="24"/>
        </w:rPr>
        <w:t xml:space="preserve">97. В ячейке 357 указывается оплата за услуги по поставке поливной воды в рамках уставной деятельности, получаемая ассоциациями водопользователей от своих членов.</w:t>
      </w:r>
    </w:p>
    <w:p>
      <w:pPr>
        <w:spacing w:after="120"/>
        <w:jc w:val="both"/>
      </w:pPr>
      <w:r>
        <w:rPr>
          <w:rFonts w:ascii="Arial" w:cs="Arial" w:eastAsia="Arial" w:hAnsi="Arial"/>
          <w:sz w:val="24"/>
          <w:szCs w:val="24"/>
        </w:rPr>
        <w:t xml:space="preserve">Примечание: расходы, связанные с получением доходов, не облагаемых налогом на прибыль, на вычет не относятся и не указываются в приложении 2.</w:t>
      </w:r>
    </w:p>
    <w:p>
      <w:pPr>
        <w:spacing w:after="120"/>
        <w:jc w:val="both"/>
      </w:pPr>
      <w:r>
        <w:rPr>
          <w:rFonts w:ascii="Arial" w:cs="Arial" w:eastAsia="Arial" w:hAnsi="Arial"/>
          <w:sz w:val="24"/>
          <w:szCs w:val="24"/>
        </w:rPr>
        <w:t xml:space="preserve">98. В ячейке 358 указываются дивиденды, полученные от участия в отечественных организациях. Дивиденды, полученные от иностранных организаций, являются доходом и включаются в ячейку 156 приложения 1.</w:t>
      </w:r>
    </w:p>
    <w:p>
      <w:pPr>
        <w:spacing w:after="120"/>
        <w:jc w:val="both"/>
      </w:pPr>
      <w:r>
        <w:rPr>
          <w:rFonts w:ascii="Arial" w:cs="Arial" w:eastAsia="Arial" w:hAnsi="Arial"/>
          <w:sz w:val="24"/>
          <w:szCs w:val="24"/>
        </w:rPr>
        <w:t xml:space="preserve">99. В ячейке 359 указывается стоимость имущества, полученного простым товариществом в качестве вклада товарищей, если организация уполномочена товарищами на ведение учета простого товарищества. Возврат вкладов от простого товарищества не является доходом товарищей.</w:t>
      </w:r>
    </w:p>
    <w:p>
      <w:pPr>
        <w:spacing w:after="120"/>
        <w:jc w:val="both"/>
      </w:pPr>
      <w:r>
        <w:rPr>
          <w:rFonts w:ascii="Arial" w:cs="Arial" w:eastAsia="Arial" w:hAnsi="Arial"/>
          <w:sz w:val="24"/>
          <w:szCs w:val="24"/>
        </w:rPr>
        <w:t xml:space="preserve">100. В ячейке 360 указывается стоимость имущества, принятого доверительным управляющим в доверительное управление. В соответствии с договором доверительного управления управляющий получает в управление от собственника средства (основные средства, имущественные комплексы и другие), стоимость которых должен отразить в данной ячейке. При этом возврат имущества собственнику от доверительного управляющего не является доходом собственника.</w:t>
      </w:r>
    </w:p>
    <w:p>
      <w:pPr>
        <w:spacing w:after="120"/>
        <w:jc w:val="both"/>
      </w:pPr>
      <w:r>
        <w:rPr>
          <w:rFonts w:ascii="Arial" w:cs="Arial" w:eastAsia="Arial" w:hAnsi="Arial"/>
          <w:sz w:val="24"/>
          <w:szCs w:val="24"/>
        </w:rPr>
        <w:t xml:space="preserve">101. В ячейке 361 указывается доход в виде превышения стоимости собственных акций над их номинальной стоимостью в результате колебания цен.</w:t>
      </w:r>
    </w:p>
    <w:p>
      <w:pPr>
        <w:spacing w:after="120"/>
        <w:jc w:val="both"/>
      </w:pPr>
      <w:r>
        <w:rPr>
          <w:rFonts w:ascii="Arial" w:cs="Arial" w:eastAsia="Arial" w:hAnsi="Arial"/>
          <w:sz w:val="24"/>
          <w:szCs w:val="24"/>
        </w:rPr>
        <w:t xml:space="preserve">102. В ячейке 362 указывается доход от прироста стоимости при реализации собственных акций. Если организация реализует собственные акции по стоимости, которая превышает их учетную стоимость, то сумма превышения будет признаваться необлагаемым доходом.</w:t>
      </w:r>
    </w:p>
    <w:p>
      <w:pPr>
        <w:spacing w:after="120"/>
        <w:jc w:val="both"/>
      </w:pPr>
      <w:r>
        <w:rPr>
          <w:rFonts w:ascii="Arial" w:cs="Arial" w:eastAsia="Arial" w:hAnsi="Arial"/>
          <w:sz w:val="24"/>
          <w:szCs w:val="24"/>
        </w:rPr>
        <w:t xml:space="preserve">103. В ячейке 363 указываются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120"/>
        <w:jc w:val="both"/>
      </w:pPr>
      <w:r>
        <w:rPr>
          <w:rFonts w:ascii="Arial" w:cs="Arial" w:eastAsia="Arial" w:hAnsi="Arial"/>
          <w:sz w:val="24"/>
          <w:szCs w:val="24"/>
        </w:rPr>
        <w:t xml:space="preserve">Примечание: листинг – это процедура допуска ценной бумаги к официальной торговле на фондовой бирже. Нахождение ценных бумаг компании в листинге фондовой биржи в наивысшей и следующей за наивысшей категориях означает, что компания раскрывает информацию о своей деятельности в соответствии с требованиями законодательства и фондовой биржи, то есть биржевые котировки указанных ценных бумаг обладают высокой степенью достоверности.</w:t>
      </w:r>
    </w:p>
    <w:p>
      <w:pPr>
        <w:spacing w:after="120"/>
        <w:jc w:val="both"/>
      </w:pPr>
      <w:r>
        <w:rPr>
          <w:rFonts w:ascii="Arial" w:cs="Arial" w:eastAsia="Arial" w:hAnsi="Arial"/>
          <w:sz w:val="24"/>
          <w:szCs w:val="24"/>
        </w:rPr>
        <w:t xml:space="preserve">Если процентный доход и доход от прироста стоимости ценных бумаг получены от данной категории ценных бумаг, они признаются необлагаемыми.</w:t>
      </w:r>
    </w:p>
    <w:p>
      <w:pPr>
        <w:spacing w:after="120"/>
        <w:jc w:val="both"/>
      </w:pPr>
      <w:r>
        <w:rPr>
          <w:rFonts w:ascii="Arial" w:cs="Arial" w:eastAsia="Arial" w:hAnsi="Arial"/>
          <w:sz w:val="24"/>
          <w:szCs w:val="24"/>
        </w:rPr>
        <w:t xml:space="preserve">104. В ячейке 364 указывается доход, полученный по договору финансовой аренды (лизинга), относящийся к необлагаемым.</w:t>
      </w:r>
    </w:p>
    <w:p>
      <w:pPr>
        <w:spacing w:after="120"/>
        <w:jc w:val="both"/>
      </w:pPr>
      <w:r>
        <w:rPr>
          <w:rFonts w:ascii="Arial" w:cs="Arial" w:eastAsia="Arial" w:hAnsi="Arial"/>
          <w:sz w:val="24"/>
          <w:szCs w:val="24"/>
        </w:rPr>
        <w:t xml:space="preserve">Примечание: включение дохода, полученного по договору финансовой аренды (лизинга), в состав необлагаемых доходов, введено как временная мера, направленная на стимулирование данного вида деятельности, и будет действовать до 1 января 2017 года.</w:t>
      </w:r>
    </w:p>
    <w:p>
      <w:pPr>
        <w:spacing w:after="120"/>
        <w:jc w:val="both"/>
      </w:pPr>
      <w:r>
        <w:rPr>
          <w:rFonts w:ascii="Arial" w:cs="Arial" w:eastAsia="Arial" w:hAnsi="Arial"/>
          <w:sz w:val="24"/>
          <w:szCs w:val="24"/>
        </w:rPr>
        <w:t xml:space="preserve">105. В ячейке 365 указываются другие необлагаемые доходы, признаваемые таковыми в соответствии с ратифицированными в установленном порядке международными соглашениями, налоговым законодательством Кыргызской Республики, не указанные в ячейках 350 -364 приложения 3.</w:t>
      </w:r>
    </w:p>
    <w:p>
      <w:pPr>
        <w:spacing w:after="120"/>
        <w:jc w:val="both"/>
      </w:pPr>
      <w:r>
        <w:rPr>
          <w:rFonts w:ascii="Arial" w:cs="Arial" w:eastAsia="Arial" w:hAnsi="Arial"/>
          <w:sz w:val="24"/>
          <w:szCs w:val="24"/>
        </w:rPr>
        <w:t xml:space="preserve">106. В ячейке 366 указывается итог всех необлагаемых доходов, который равен сумме значений ячеек с 350 по 365.</w:t>
      </w:r>
    </w:p>
    <w:p>
      <w:pPr>
        <w:spacing w:after="120"/>
        <w:jc w:val="both"/>
      </w:pPr>
      <w:r>
        <w:rPr>
          <w:rFonts w:ascii="Arial" w:cs="Arial" w:eastAsia="Arial" w:hAnsi="Arial"/>
          <w:sz w:val="24"/>
          <w:szCs w:val="24"/>
        </w:rPr>
        <w:t xml:space="preserve">107. В ячейке 367 указывается процентный доход, ранее обложенный у источника выплаты. Определение процентного дохода и особенности его применения изложены в пункте 51 настоящего Порядка.</w:t>
      </w:r>
    </w:p>
    <w:p>
      <w:pPr>
        <w:spacing w:after="120"/>
        <w:jc w:val="both"/>
      </w:pPr>
      <w:r>
        <w:rPr>
          <w:rFonts w:ascii="Arial" w:cs="Arial" w:eastAsia="Arial" w:hAnsi="Arial"/>
          <w:sz w:val="24"/>
          <w:szCs w:val="24"/>
        </w:rPr>
        <w:t xml:space="preserve">108. В ячейке 368 указываются другие доходы, обложенные у источника выплаты, не указанные в ячейке 366 данного приложения.</w:t>
      </w:r>
    </w:p>
    <w:p>
      <w:pPr>
        <w:spacing w:after="120"/>
        <w:jc w:val="both"/>
      </w:pPr>
      <w:r>
        <w:rPr>
          <w:rFonts w:ascii="Arial" w:cs="Arial" w:eastAsia="Arial" w:hAnsi="Arial"/>
          <w:sz w:val="24"/>
          <w:szCs w:val="24"/>
        </w:rPr>
        <w:t xml:space="preserve">109. В ячейке 369 указывается итог доходов, обложенных у источника выплаты, который равен сумме значений ячеек 367 и 368.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Заполнение приложения 4 «Прибыль, освобожденная</w:t>
      </w:r>
    </w:p>
    <w:p>
      <w:pPr>
        <w:spacing w:after="120"/>
        <w:jc w:val="both"/>
      </w:pPr>
      <w:r>
        <w:rPr>
          <w:rFonts w:ascii="Arial" w:cs="Arial" w:eastAsia="Arial" w:hAnsi="Arial"/>
          <w:sz w:val="24"/>
          <w:szCs w:val="24"/>
        </w:rPr>
        <w:t xml:space="preserve">от налога» (FORM STI – 101 - 004)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Освобождение от уплаты налога на прибыль не освобождает налогоплательщиков от обязанности предоставления Декларации.</w:t>
      </w:r>
    </w:p>
    <w:p>
      <w:pPr>
        <w:spacing w:after="120"/>
        <w:jc w:val="both"/>
      </w:pPr>
      <w:r>
        <w:rPr>
          <w:rFonts w:ascii="Arial" w:cs="Arial" w:eastAsia="Arial" w:hAnsi="Arial"/>
          <w:sz w:val="24"/>
          <w:szCs w:val="24"/>
        </w:rPr>
        <w:t xml:space="preserve">111. В ячейке 450 указывается прибыль благотворительных организаций от благотворительной деятельности. Прибыль, полученная благотворительной организацией от коммерческой деятельности, не освобождается от налога на прибыль.</w:t>
      </w:r>
    </w:p>
    <w:p>
      <w:pPr>
        <w:spacing w:after="120"/>
        <w:jc w:val="both"/>
      </w:pPr>
      <w:r>
        <w:rPr>
          <w:rFonts w:ascii="Arial" w:cs="Arial" w:eastAsia="Arial" w:hAnsi="Arial"/>
          <w:sz w:val="24"/>
          <w:szCs w:val="24"/>
        </w:rPr>
        <w:t xml:space="preserve">Примечание: благотворительная деятельность - добровольная деятельность физического и/или юридического лица, направленная на реализацию благотворительных целей, предусмотренных законодательством Кыргызской Республики о благотворительной деятельности по передаче гражданам и юридическим лицам активов, предоставлению услуг и выполнению работ на бескорыстной (безвозмездной или на льготных условиях) либо за оплату, не превышающую расходы, понесенные при их реализации.</w:t>
      </w:r>
    </w:p>
    <w:p>
      <w:pPr>
        <w:spacing w:after="120"/>
        <w:jc w:val="both"/>
      </w:pPr>
      <w:r>
        <w:rPr>
          <w:rFonts w:ascii="Arial" w:cs="Arial" w:eastAsia="Arial" w:hAnsi="Arial"/>
          <w:sz w:val="24"/>
          <w:szCs w:val="24"/>
        </w:rPr>
        <w:t xml:space="preserve">Благотворительная организация - некоммерческая организация:</w:t>
      </w:r>
    </w:p>
    <w:p>
      <w:pPr>
        <w:spacing w:after="120"/>
        <w:jc w:val="both"/>
      </w:pPr>
      <w:r>
        <w:rPr>
          <w:rFonts w:ascii="Arial" w:cs="Arial" w:eastAsia="Arial" w:hAnsi="Arial"/>
          <w:sz w:val="24"/>
          <w:szCs w:val="24"/>
        </w:rPr>
        <w:t xml:space="preserve">а) созданная и осуществляющая благотворительную деятельность в соответствии с законодательством Кыргызской Республики о некоммерческих организациях и благотворительной деятельности;</w:t>
      </w:r>
    </w:p>
    <w:p>
      <w:pPr>
        <w:spacing w:after="120"/>
        <w:jc w:val="both"/>
      </w:pPr>
      <w:r>
        <w:rPr>
          <w:rFonts w:ascii="Arial" w:cs="Arial" w:eastAsia="Arial" w:hAnsi="Arial"/>
          <w:sz w:val="24"/>
          <w:szCs w:val="24"/>
        </w:rPr>
        <w:t xml:space="preserve">б) не занимающаяся осуществлением деятельности по производству и/или реализации подакцизных товаров и деятельности букмекерских контор и тотализаторов;</w:t>
      </w:r>
    </w:p>
    <w:p>
      <w:pPr>
        <w:spacing w:after="120"/>
        <w:jc w:val="both"/>
      </w:pPr>
      <w:r>
        <w:rPr>
          <w:rFonts w:ascii="Arial" w:cs="Arial" w:eastAsia="Arial" w:hAnsi="Arial"/>
          <w:sz w:val="24"/>
          <w:szCs w:val="24"/>
        </w:rPr>
        <w:t xml:space="preserve">в) не участвующая в поддержке политических партий или выборных кампаний.</w:t>
      </w:r>
    </w:p>
    <w:p>
      <w:pPr>
        <w:spacing w:after="120"/>
        <w:jc w:val="both"/>
      </w:pPr>
      <w:r>
        <w:rPr>
          <w:rFonts w:ascii="Arial" w:cs="Arial" w:eastAsia="Arial" w:hAnsi="Arial"/>
          <w:sz w:val="24"/>
          <w:szCs w:val="24"/>
        </w:rPr>
        <w:t xml:space="preserve">112. В ячейке 451 указывается прибыль общества инвалидов I и II групп, а также организаций Кыргызского общества слепых и глухих, в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w:t>
      </w:r>
    </w:p>
    <w:p>
      <w:pPr>
        <w:spacing w:after="120"/>
        <w:jc w:val="both"/>
      </w:pPr>
      <w:r>
        <w:rPr>
          <w:rFonts w:ascii="Arial" w:cs="Arial" w:eastAsia="Arial" w:hAnsi="Arial"/>
          <w:sz w:val="24"/>
          <w:szCs w:val="24"/>
        </w:rPr>
        <w:t xml:space="preserve">113. В ячейке 452 указывается прибыль сельскохозяйственных производителей.</w:t>
      </w:r>
    </w:p>
    <w:p>
      <w:pPr>
        <w:spacing w:after="120"/>
        <w:jc w:val="both"/>
      </w:pPr>
      <w:r>
        <w:rPr>
          <w:rFonts w:ascii="Arial" w:cs="Arial" w:eastAsia="Arial" w:hAnsi="Arial"/>
          <w:sz w:val="24"/>
          <w:szCs w:val="24"/>
        </w:rPr>
        <w:t xml:space="preserve">Примечание: сельскохозяйственным производителем в налоговых целях признается организация или физическое лицо, производящее сельскохозяйственную продукцию, а также продукты переработки сельскохозяйственной продукции собственного производства, кроме подакцизных товаров, при условии, что выручка от реализации этой продукции составляет не менее 75 процентов от общего объема реализации товаров, работ, услуг в течение календарного года.</w:t>
      </w:r>
    </w:p>
    <w:p>
      <w:pPr>
        <w:spacing w:after="120"/>
        <w:jc w:val="both"/>
      </w:pPr>
      <w:r>
        <w:rPr>
          <w:rFonts w:ascii="Arial" w:cs="Arial" w:eastAsia="Arial" w:hAnsi="Arial"/>
          <w:sz w:val="24"/>
          <w:szCs w:val="24"/>
        </w:rPr>
        <w:t xml:space="preserve">114. В ячейке 453 указывается прибыль учреждений уголовно -исполнительной системы Кыргызской Республики.</w:t>
      </w:r>
    </w:p>
    <w:p>
      <w:pPr>
        <w:spacing w:after="120"/>
        <w:jc w:val="both"/>
      </w:pPr>
      <w:r>
        <w:rPr>
          <w:rFonts w:ascii="Arial" w:cs="Arial" w:eastAsia="Arial" w:hAnsi="Arial"/>
          <w:sz w:val="24"/>
          <w:szCs w:val="24"/>
        </w:rPr>
        <w:t xml:space="preserve">115. В ячейке 454 указывается прибыль сельскохозяйственных товарно-сервисных кооперативов.</w:t>
      </w:r>
    </w:p>
    <w:p>
      <w:pPr>
        <w:spacing w:after="120"/>
        <w:jc w:val="both"/>
      </w:pPr>
      <w:r>
        <w:rPr>
          <w:rFonts w:ascii="Arial" w:cs="Arial" w:eastAsia="Arial" w:hAnsi="Arial"/>
          <w:sz w:val="24"/>
          <w:szCs w:val="24"/>
        </w:rPr>
        <w:t xml:space="preserve">Примечание: сельскохозяйственный товарно-сервисный кооператив - кооператив, не менее 75 процентов членов которого являются сельскохозяйственными производителями и не менее 75 процентов выручки которого составляет выручка от реализации товаров, работ, услуг, произведенных данным кооперативом в течение календарного года.</w:t>
      </w:r>
    </w:p>
    <w:p>
      <w:pPr>
        <w:spacing w:after="120"/>
        <w:jc w:val="both"/>
      </w:pPr>
      <w:r>
        <w:rPr>
          <w:rFonts w:ascii="Arial" w:cs="Arial" w:eastAsia="Arial" w:hAnsi="Arial"/>
          <w:sz w:val="24"/>
          <w:szCs w:val="24"/>
        </w:rPr>
        <w:t xml:space="preserve">116. В ячейке 455 указывается прибыль налогоплательщика, полученная от реализации товаров промышленной переработки ягод, плодов и овощей из собственного сырья, переработка которых осуществлена непосредственно на производственных мощностях, находящихся в собственности налогоплательщика, в части, направленной на приобретение, реконструкцию, модернизацию основных производственных средств.</w:t>
      </w:r>
    </w:p>
    <w:p>
      <w:pPr>
        <w:spacing w:after="120"/>
        <w:jc w:val="both"/>
      </w:pPr>
      <w:r>
        <w:rPr>
          <w:rFonts w:ascii="Arial" w:cs="Arial" w:eastAsia="Arial" w:hAnsi="Arial"/>
          <w:sz w:val="24"/>
          <w:szCs w:val="24"/>
        </w:rPr>
        <w:t xml:space="preserve">117. В ячейке 456 указывается прибыль, полученная кредитным союзом.</w:t>
      </w:r>
    </w:p>
    <w:p>
      <w:pPr>
        <w:spacing w:after="120"/>
        <w:jc w:val="both"/>
      </w:pPr>
      <w:r>
        <w:rPr>
          <w:rFonts w:ascii="Arial" w:cs="Arial" w:eastAsia="Arial" w:hAnsi="Arial"/>
          <w:sz w:val="24"/>
          <w:szCs w:val="24"/>
        </w:rPr>
        <w:t xml:space="preserve">118. В ячейке 457 указывается прибыль предприятий пищевой и перерабатывающей промышленности, осуществляющих промышленную переработку сельскохозяйственной продукции, кроме используемой для производства подакцизной группы товаров, подлежащая освобождению от уплаты налога на прибыль в соответствии со статьей 212 Налогового кодекса.</w:t>
      </w:r>
    </w:p>
    <w:p>
      <w:pPr>
        <w:spacing w:after="120"/>
        <w:jc w:val="both"/>
      </w:pPr>
      <w:r>
        <w:rPr>
          <w:rFonts w:ascii="Arial" w:cs="Arial" w:eastAsia="Arial" w:hAnsi="Arial"/>
          <w:sz w:val="24"/>
          <w:szCs w:val="24"/>
        </w:rPr>
        <w:t xml:space="preserve">119. В ячейке 458 указывается прибыль лизинговых кампаний, которым освобождение от уплаты налога на прибыль предоставлено на период до 1 января 2017 года.</w:t>
      </w:r>
    </w:p>
    <w:p>
      <w:pPr>
        <w:spacing w:after="120"/>
        <w:jc w:val="both"/>
      </w:pPr>
      <w:r>
        <w:rPr>
          <w:rFonts w:ascii="Arial" w:cs="Arial" w:eastAsia="Arial" w:hAnsi="Arial"/>
          <w:sz w:val="24"/>
          <w:szCs w:val="24"/>
        </w:rPr>
        <w:t xml:space="preserve">Примечание: лизинговая компания - отечественная организация, филиал и/или представительство иностранной организации, не менее 90 процентов выручки которых составляет выручка, полученная по договорам финансовой аренды (лизинга) от реализации основных средств.</w:t>
      </w:r>
    </w:p>
    <w:p>
      <w:pPr>
        <w:spacing w:after="120"/>
        <w:jc w:val="both"/>
      </w:pPr>
      <w:r>
        <w:rPr>
          <w:rFonts w:ascii="Arial" w:cs="Arial" w:eastAsia="Arial" w:hAnsi="Arial"/>
          <w:sz w:val="24"/>
          <w:szCs w:val="24"/>
        </w:rPr>
        <w:t xml:space="preserve">120. В ячейке 459 указываются суммы прибыли, на которые распространяются другие льготы по налогу на прибыль, предусмотренные налоговым законодательством, а также международными договорами. Если организация в соответствии с законодательством Кыргызской Республики не обязана облагать полученную прибыль или ее часть, в данной ячейке указывается сумма, подлежащая освобождению.</w:t>
      </w:r>
    </w:p>
    <w:p>
      <w:pPr>
        <w:spacing w:after="120"/>
        <w:jc w:val="both"/>
      </w:pPr>
      <w:r>
        <w:rPr>
          <w:rFonts w:ascii="Arial" w:cs="Arial" w:eastAsia="Arial" w:hAnsi="Arial"/>
          <w:sz w:val="24"/>
          <w:szCs w:val="24"/>
        </w:rPr>
        <w:t xml:space="preserve">121. В ячейке 460 указывается сумма ячеек с 450 по 459. Значение данной ячейки переносится в ячейку 053 Декларации.</w:t>
      </w:r>
    </w:p>
    <w:p>
      <w:pPr>
        <w:spacing w:after="120"/>
        <w:jc w:val="both"/>
      </w:pPr>
      <w:r>
        <w:rPr>
          <w:rFonts w:ascii="Arial" w:cs="Arial" w:eastAsia="Arial" w:hAnsi="Arial"/>
          <w:sz w:val="24"/>
          <w:szCs w:val="24"/>
        </w:rPr>
        <w:t xml:space="preserve">Налог на прибыль от данной суммы не возникает, так как при определении размера налогооблагаемой прибыли сумма, указанная в ячейке 053, подлежит вычету из общей суммы прибыли.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Заполнение приложения 5</w:t>
      </w:r>
    </w:p>
    <w:p>
      <w:pPr>
        <w:spacing w:after="120"/>
        <w:jc w:val="both"/>
      </w:pPr>
      <w:r>
        <w:rPr>
          <w:rFonts w:ascii="Arial" w:cs="Arial" w:eastAsia="Arial" w:hAnsi="Arial"/>
          <w:sz w:val="24"/>
          <w:szCs w:val="24"/>
        </w:rPr>
        <w:t xml:space="preserve">«Налог на имущество» (FORM STI – 101 - 005)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 приложении 5 налогоплательщик указывает информацию обо всех объектах имущества, принадлежащих ему на праве собственности, включая освобожденные/не подлежащие налогообложению, а также подлежащие льготному налогообложению на основании данных представленных информационных расчетов по налогу на имущество по объектам 1 группы (FORM STI - 086), 2 группы (FORM STI - 087), 3 группы (FORM STI - 088) и 4 группы (FORM STI - 089), а также данных правоустанавливающих и/или правоудостоверяющих документов по объектам имущества, освобожденным/не подлежащим налогообложению либо подлежащим льготному налогообложению.</w:t>
      </w:r>
    </w:p>
    <w:p>
      <w:pPr>
        <w:spacing w:after="120"/>
        <w:jc w:val="both"/>
      </w:pPr>
      <w:r>
        <w:rPr>
          <w:rFonts w:ascii="Arial" w:cs="Arial" w:eastAsia="Arial" w:hAnsi="Arial"/>
          <w:sz w:val="24"/>
          <w:szCs w:val="24"/>
        </w:rPr>
        <w:t xml:space="preserve">123. Налогоплательщиком налога на имущество является субъект, имеющий в собственности облагаемое имущество, включая имущество, приобретенное в рамках договора финансовой аренды или ипотечного кредитования, зарегистрированное на территории Кыргызской Республики. Если невозможно установить местонахождение собственника имущества, налогоплательщиком налога на имущество является субъект, пользующийся этим имуществом.</w:t>
      </w:r>
    </w:p>
    <w:p>
      <w:pPr>
        <w:spacing w:after="120"/>
        <w:jc w:val="both"/>
      </w:pPr>
      <w:r>
        <w:rPr>
          <w:rFonts w:ascii="Arial" w:cs="Arial" w:eastAsia="Arial" w:hAnsi="Arial"/>
          <w:sz w:val="24"/>
          <w:szCs w:val="24"/>
        </w:rPr>
        <w:t xml:space="preserve">124. Для заполнения Раздела I приложения сначала заполняются расшифровки приложения 5 по:</w:t>
      </w:r>
    </w:p>
    <w:p>
      <w:pPr>
        <w:spacing w:after="120"/>
        <w:jc w:val="both"/>
      </w:pPr>
      <w:r>
        <w:rPr>
          <w:rFonts w:ascii="Arial" w:cs="Arial" w:eastAsia="Arial" w:hAnsi="Arial"/>
          <w:sz w:val="24"/>
          <w:szCs w:val="24"/>
        </w:rPr>
        <w:t xml:space="preserve">1) объектам имущества 1, 2 и 3 групп;</w:t>
      </w:r>
    </w:p>
    <w:p>
      <w:pPr>
        <w:spacing w:after="120"/>
        <w:jc w:val="both"/>
      </w:pPr>
      <w:r>
        <w:rPr>
          <w:rFonts w:ascii="Arial" w:cs="Arial" w:eastAsia="Arial" w:hAnsi="Arial"/>
          <w:sz w:val="24"/>
          <w:szCs w:val="24"/>
        </w:rPr>
        <w:t xml:space="preserve">2) объектам имущества 4 группы (транспортные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7.1. Заполнение Расшифровки приложения 5</w:t>
      </w:r>
    </w:p>
    <w:p>
      <w:pPr>
        <w:spacing w:after="120"/>
        <w:jc w:val="both"/>
      </w:pPr>
      <w:r>
        <w:rPr>
          <w:rFonts w:ascii="Arial" w:cs="Arial" w:eastAsia="Arial" w:hAnsi="Arial"/>
          <w:sz w:val="24"/>
          <w:szCs w:val="24"/>
        </w:rPr>
        <w:t xml:space="preserve">(FORM STI 101 – 005 - 01) по объектам имущества 1, 2 и 3 групп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В ячейках графы 1 указывается код группы объекта имущества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9"/>
        <w:gridCol w:w="8199"/>
      </w:tblGrid>
      <w:tr>
        <w:tc>
          <w:tcPr>
            <w:tcW w:type="dxa" w:w="19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81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объекта имущества</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группа</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группа</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группа</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группа</w:t>
            </w:r>
          </w:p>
        </w:tc>
      </w:tr>
    </w:tbl>
    <w:p>
      <w:pPr>
        <w:spacing w:after="120"/>
        <w:jc w:val="both"/>
      </w:pPr>
      <w:r>
        <w:rPr>
          <w:rFonts w:ascii="Arial" w:cs="Arial" w:eastAsia="Arial" w:hAnsi="Arial"/>
          <w:sz w:val="24"/>
          <w:szCs w:val="24"/>
        </w:rPr>
        <w:t xml:space="preserve">Примечание: к 1 группе объектов имущества относятся: жилые дома, включая общежития, квартиры, дачные дома, предназначенные для постоянного или временного проживания, не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Ко 2 группе объектов имущества относятся: жилые дома, включая общежития, квартиры, дачные дома, пансионаты, дома отдыха, санатории, курорты, производственные, административные, промышленные, а также другие капитальные строения, предназначенные и/или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К 3 группе объектов имущества относятся: временные помещения из металлических и других конструкций, такие, как киоски, контейнеры, предназначенные и/или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126. Заполнение ячеек графы 1 производится в следующей последовательности:</w:t>
      </w:r>
    </w:p>
    <w:p>
      <w:pPr>
        <w:spacing w:after="120"/>
        <w:jc w:val="both"/>
      </w:pPr>
      <w:r>
        <w:rPr>
          <w:rFonts w:ascii="Arial" w:cs="Arial" w:eastAsia="Arial" w:hAnsi="Arial"/>
          <w:sz w:val="24"/>
          <w:szCs w:val="24"/>
        </w:rPr>
        <w:t xml:space="preserve">указываются все объекты имущества с кодом 01, не используемые в предпринимательской деятельности;</w:t>
      </w:r>
    </w:p>
    <w:p>
      <w:pPr>
        <w:spacing w:after="120"/>
        <w:jc w:val="both"/>
      </w:pPr>
      <w:r>
        <w:rPr>
          <w:rFonts w:ascii="Arial" w:cs="Arial" w:eastAsia="Arial" w:hAnsi="Arial"/>
          <w:sz w:val="24"/>
          <w:szCs w:val="24"/>
        </w:rPr>
        <w:t xml:space="preserve">указываются все объекты имущества с кодом 02, используемые или предназначенные для использования в предпринимательской деятельности;</w:t>
      </w:r>
    </w:p>
    <w:p>
      <w:pPr>
        <w:spacing w:after="120"/>
        <w:jc w:val="both"/>
      </w:pPr>
      <w:r>
        <w:rPr>
          <w:rFonts w:ascii="Arial" w:cs="Arial" w:eastAsia="Arial" w:hAnsi="Arial"/>
          <w:sz w:val="24"/>
          <w:szCs w:val="24"/>
        </w:rPr>
        <w:t xml:space="preserve">указываются все объекты имущества с кодом 03, используемые или предназначенные для использования в предпринимательской деятельности.</w:t>
      </w:r>
    </w:p>
    <w:p>
      <w:pPr>
        <w:spacing w:after="120"/>
        <w:jc w:val="both"/>
      </w:pPr>
      <w:r>
        <w:rPr>
          <w:rFonts w:ascii="Arial" w:cs="Arial" w:eastAsia="Arial" w:hAnsi="Arial"/>
          <w:sz w:val="24"/>
          <w:szCs w:val="24"/>
        </w:rPr>
        <w:t xml:space="preserve">127. В ячейках графы 2 указывается код вида соответствующего имущества. Для того, чтобы заполнить показатели ячейки, необходимо выбрать коды используемого имущества из нижеследующей таблицы: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0"/>
        <w:gridCol w:w="6948"/>
      </w:tblGrid>
      <w:tr>
        <w:tc>
          <w:tcPr>
            <w:tcW w:type="dxa" w:w="32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имущества</w:t>
            </w:r>
          </w:p>
        </w:tc>
        <w:tc>
          <w:tcPr>
            <w:tcW w:type="dxa" w:w="69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имущества</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Пансионат</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отдыха</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Санаторий</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Курорт</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строение</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Административное строение</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Промышленное строение</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капитальное строение</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Киоск</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013</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014</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временное помещение</w:t>
            </w:r>
          </w:p>
        </w:tc>
      </w:tr>
    </w:tbl>
    <w:p>
      <w:pPr>
        <w:spacing w:after="120"/>
        <w:jc w:val="both"/>
      </w:pPr>
      <w:r>
        <w:rPr>
          <w:rFonts w:ascii="Arial" w:cs="Arial" w:eastAsia="Arial" w:hAnsi="Arial"/>
          <w:sz w:val="24"/>
          <w:szCs w:val="24"/>
        </w:rPr>
        <w:t xml:space="preserve">128. В ячейках графы 3 указывается код пользователя имущества: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4"/>
        <w:gridCol w:w="9244"/>
      </w:tblGrid>
      <w:tr>
        <w:tc>
          <w:tcPr>
            <w:tcW w:type="dxa" w:w="9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92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Пользователь имущества</w:t>
            </w:r>
          </w:p>
        </w:tc>
      </w:tr>
      <w:tr>
        <w:tc>
          <w:tcPr>
            <w:tcW w:type="dxa" w:w="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p>
        </w:tc>
        <w:tc>
          <w:tcPr>
            <w:tcW w:type="dxa" w:w="9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Собственник</w:t>
            </w:r>
          </w:p>
        </w:tc>
      </w:tr>
      <w:tr>
        <w:tc>
          <w:tcPr>
            <w:tcW w:type="dxa" w:w="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ДС</w:t>
            </w:r>
          </w:p>
        </w:tc>
        <w:tc>
          <w:tcPr>
            <w:tcW w:type="dxa" w:w="9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Долевой собственник</w:t>
            </w:r>
          </w:p>
        </w:tc>
      </w:tr>
      <w:tr>
        <w:tc>
          <w:tcPr>
            <w:tcW w:type="dxa" w:w="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НС</w:t>
            </w:r>
          </w:p>
        </w:tc>
        <w:tc>
          <w:tcPr>
            <w:tcW w:type="dxa" w:w="9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Несобственник</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плательщиком налога на имущество является собственник имущества, то в этих ячейках указывается код «С».</w:t>
      </w:r>
    </w:p>
    <w:p>
      <w:pPr>
        <w:spacing w:after="120"/>
        <w:jc w:val="both"/>
      </w:pPr>
      <w:r>
        <w:rPr>
          <w:rFonts w:ascii="Arial" w:cs="Arial" w:eastAsia="Arial" w:hAnsi="Arial"/>
          <w:sz w:val="24"/>
          <w:szCs w:val="24"/>
        </w:rPr>
        <w:t xml:space="preserve">Если имущество находится в собственности нескольких лиц, указывается код «ДС».</w:t>
      </w:r>
    </w:p>
    <w:p>
      <w:pPr>
        <w:spacing w:after="120"/>
        <w:jc w:val="both"/>
      </w:pPr>
      <w:r>
        <w:rPr>
          <w:rFonts w:ascii="Arial" w:cs="Arial" w:eastAsia="Arial" w:hAnsi="Arial"/>
          <w:sz w:val="24"/>
          <w:szCs w:val="24"/>
        </w:rPr>
        <w:t xml:space="preserve">Если плательщиком налога является несобственник имущества, а пользователь, то указывается код «НС».</w:t>
      </w:r>
    </w:p>
    <w:p>
      <w:pPr>
        <w:spacing w:after="120"/>
        <w:jc w:val="both"/>
      </w:pPr>
      <w:r>
        <w:rPr>
          <w:rFonts w:ascii="Arial" w:cs="Arial" w:eastAsia="Arial" w:hAnsi="Arial"/>
          <w:sz w:val="24"/>
          <w:szCs w:val="24"/>
        </w:rPr>
        <w:t xml:space="preserve">129. В ячейках графы 4 указывается код района нахождения имущества, который является кодом налогового органа этого района.</w:t>
      </w:r>
    </w:p>
    <w:p>
      <w:pPr>
        <w:spacing w:after="120"/>
        <w:jc w:val="both"/>
      </w:pPr>
      <w:r>
        <w:rPr>
          <w:rFonts w:ascii="Arial" w:cs="Arial" w:eastAsia="Arial" w:hAnsi="Arial"/>
          <w:sz w:val="24"/>
          <w:szCs w:val="24"/>
        </w:rPr>
        <w:t xml:space="preserve">Примечание: код района можно найти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130. В ячейках графы 5 указывается идентификационный код имущества, присвоенный органом государственной регистрации прав на недвижимое имущество. Данный код указан в верхней ячейке титульного листа технического паспорта единицы недвижимого имущества.</w:t>
      </w:r>
    </w:p>
    <w:p>
      <w:pPr>
        <w:spacing w:after="120"/>
        <w:jc w:val="both"/>
      </w:pPr>
      <w:r>
        <w:rPr>
          <w:rFonts w:ascii="Arial" w:cs="Arial" w:eastAsia="Arial" w:hAnsi="Arial"/>
          <w:sz w:val="24"/>
          <w:szCs w:val="24"/>
        </w:rPr>
        <w:t xml:space="preserve">131. В ячейках графы 6 указывается код категории объекта имущества, который выбирается из таблицы: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8"/>
        <w:gridCol w:w="7790"/>
      </w:tblGrid>
      <w:tr>
        <w:tc>
          <w:tcPr>
            <w:tcW w:type="dxa" w:w="23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77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объекта имущества</w:t>
            </w:r>
          </w:p>
        </w:tc>
      </w:tr>
      <w:tr>
        <w:tc>
          <w:tcPr>
            <w:tcW w:type="dxa" w:w="2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tc>
        <w:tc>
          <w:tcPr>
            <w:tcW w:type="dxa" w:w="7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2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w:t>
            </w:r>
          </w:p>
        </w:tc>
        <w:tc>
          <w:tcPr>
            <w:tcW w:type="dxa" w:w="7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2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w:t>
            </w:r>
          </w:p>
        </w:tc>
        <w:tc>
          <w:tcPr>
            <w:tcW w:type="dxa" w:w="7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объект имущества подлежит налогообложению на общих основаниях, ему присваивается код «О»;</w:t>
      </w:r>
    </w:p>
    <w:p>
      <w:pPr>
        <w:spacing w:after="120"/>
        <w:jc w:val="both"/>
      </w:pPr>
      <w:r>
        <w:rPr>
          <w:rFonts w:ascii="Arial" w:cs="Arial" w:eastAsia="Arial" w:hAnsi="Arial"/>
          <w:sz w:val="24"/>
          <w:szCs w:val="24"/>
        </w:rPr>
        <w:t xml:space="preserve">2) в случае, если объект имущества не является объектом налогообложения в соответствии с частью 3 статьи 324 Налогового кодекса, ему присваивается код «Н/О»;</w:t>
      </w:r>
    </w:p>
    <w:p>
      <w:pPr>
        <w:spacing w:after="120"/>
        <w:jc w:val="both"/>
      </w:pPr>
      <w:r>
        <w:rPr>
          <w:rFonts w:ascii="Arial" w:cs="Arial" w:eastAsia="Arial" w:hAnsi="Arial"/>
          <w:sz w:val="24"/>
          <w:szCs w:val="24"/>
        </w:rPr>
        <w:t xml:space="preserve">3) в случае, если для налогоплательщика или объекта имущества установлена льгота/освобождение от уплаты налога в соответствии со статьей 330 Налогового кодекса, то такому объекту присваивается код «Л/О».</w:t>
      </w:r>
    </w:p>
    <w:p>
      <w:pPr>
        <w:spacing w:after="120"/>
        <w:jc w:val="both"/>
      </w:pPr>
      <w:r>
        <w:rPr>
          <w:rFonts w:ascii="Arial" w:cs="Arial" w:eastAsia="Arial" w:hAnsi="Arial"/>
          <w:sz w:val="24"/>
          <w:szCs w:val="24"/>
        </w:rPr>
        <w:t xml:space="preserve">132. В ячейках графы 7 указывается общая площадь объекта имущества в квадратных метрах.</w:t>
      </w:r>
    </w:p>
    <w:p>
      <w:pPr>
        <w:spacing w:after="120"/>
        <w:jc w:val="both"/>
      </w:pPr>
      <w:r>
        <w:rPr>
          <w:rFonts w:ascii="Arial" w:cs="Arial" w:eastAsia="Arial" w:hAnsi="Arial"/>
          <w:sz w:val="24"/>
          <w:szCs w:val="24"/>
        </w:rPr>
        <w:t xml:space="preserve">133. В ячейках графы 8 указывается сумма налога по каждому объекту имущества. По облагаемому объекту имущества указывается сумма налога, ранее рассчитанная и отраженная в информационном расчете по налогу на имущество, который представлен налогоплательщиком в налоговый орган в соответствии с частью 5 статьи 332 Налогового кодекса:</w:t>
      </w:r>
    </w:p>
    <w:p>
      <w:pPr>
        <w:spacing w:after="120"/>
        <w:jc w:val="both"/>
      </w:pPr>
      <w:r>
        <w:rPr>
          <w:rFonts w:ascii="Arial" w:cs="Arial" w:eastAsia="Arial" w:hAnsi="Arial"/>
          <w:sz w:val="24"/>
          <w:szCs w:val="24"/>
        </w:rPr>
        <w:t xml:space="preserve">если объект имущества, по которому был представлен информационный расчет, находился в собственности налогоплательщика в течение отчетного года, сумма исчисленного налога переносится из информационного расчета в данное приложение по каждому объекту имущества;</w:t>
      </w:r>
    </w:p>
    <w:p>
      <w:pPr>
        <w:spacing w:after="120"/>
        <w:jc w:val="both"/>
      </w:pPr>
      <w:r>
        <w:rPr>
          <w:rFonts w:ascii="Arial" w:cs="Arial" w:eastAsia="Arial" w:hAnsi="Arial"/>
          <w:sz w:val="24"/>
          <w:szCs w:val="24"/>
        </w:rPr>
        <w:t xml:space="preserve">если объекты имущества выбыли или поступили в собственность налогоплательщика в течение отчетного года после представления информационного расчета, то они должны были быть отражены в дополнительных информационных расчетах, которые предоставляются по факту приобретения или выбытия каких-либо объектов;</w:t>
      </w:r>
    </w:p>
    <w:p>
      <w:pPr>
        <w:spacing w:after="120"/>
        <w:jc w:val="both"/>
      </w:pPr>
      <w:r>
        <w:rPr>
          <w:rFonts w:ascii="Arial" w:cs="Arial" w:eastAsia="Arial" w:hAnsi="Arial"/>
          <w:sz w:val="24"/>
          <w:szCs w:val="24"/>
        </w:rPr>
        <w:t xml:space="preserve">3) если объект имущества относится к необлагаемым, не подлежащим налогообложению, а также подлежащим льготному налогообложению, в соответствующей ячейке графы 8 указывается цифра «0» либо сумма налога, подлежащая уплате, с учетом предоставленной льготы.</w:t>
      </w:r>
    </w:p>
    <w:p>
      <w:pPr>
        <w:spacing w:after="120"/>
        <w:jc w:val="both"/>
      </w:pPr>
      <w:r>
        <w:rPr>
          <w:rFonts w:ascii="Arial" w:cs="Arial" w:eastAsia="Arial" w:hAnsi="Arial"/>
          <w:sz w:val="24"/>
          <w:szCs w:val="24"/>
        </w:rPr>
        <w:t xml:space="preserve">134. В случае, если в Расшифровке после указания показателей по объектам имущества 1, 2 и 3 групп, находящихся в собственности налогоплательщика, остались незаполненные строки, они перечеркиваются на всю длину и ширину знаком «Z». Затем в ячейке «Итого» указывается общая сумма налога на имущество по объектам имущества 1, 2 и 3 групп, которая равна сумме заполненных значений ячеек графы 8 Расшифровки.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7.2. Заполнение Расшифровки приложения 5 по объектам имущества 4 группы (транспортные средства)</w:t>
      </w:r>
    </w:p>
    <w:p>
      <w:pPr>
        <w:spacing w:after="120"/>
        <w:jc w:val="both"/>
      </w:pPr>
      <w:r>
        <w:rPr>
          <w:rFonts w:ascii="Arial" w:cs="Arial" w:eastAsia="Arial" w:hAnsi="Arial"/>
          <w:sz w:val="24"/>
          <w:szCs w:val="24"/>
        </w:rPr>
        <w:t xml:space="preserve">(FORM STI 101 – 005 - 02)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Данную Расшифровку заполняет налогоплательщик, у которого в собственности имеются транспортные средства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1"/>
        <w:gridCol w:w="1852"/>
        <w:gridCol w:w="6194"/>
      </w:tblGrid>
      <w:tr>
        <w:tc>
          <w:tcPr>
            <w:tcW w:type="dxa" w:w="21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двигателя</w:t>
            </w:r>
          </w:p>
        </w:tc>
        <w:tc>
          <w:tcPr>
            <w:tcW w:type="dxa" w:w="18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p>
            <w:pPr>
              <w:jc w:val="left"/>
            </w:pPr>
            <w:r>
              <w:rPr>
                <w:rFonts w:ascii="Arial" w:cs="Arial" w:eastAsia="Arial" w:hAnsi="Arial"/>
                <w:sz w:val="24"/>
                <w:szCs w:val="24"/>
              </w:rPr>
              <w:t xml:space="preserve">транспорта</w:t>
            </w:r>
          </w:p>
        </w:tc>
        <w:tc>
          <w:tcPr>
            <w:tcW w:type="dxa" w:w="61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транспорта</w:t>
            </w:r>
          </w:p>
          <w:p>
            <w:pPr>
              <w:jc w:val="left"/>
            </w:pPr>
            <w:r>
              <w:rPr>
                <w:rFonts w:ascii="Arial" w:cs="Arial" w:eastAsia="Arial" w:hAnsi="Arial"/>
                <w:sz w:val="24"/>
                <w:szCs w:val="24"/>
              </w:rPr>
              <w:t xml:space="preserve"/>
            </w:r>
          </w:p>
        </w:tc>
      </w:tr>
      <w:tr>
        <w:tc>
          <w:tcPr>
            <w:tcW w:type="dxa" w:w="2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(работающие</w:t>
            </w:r>
          </w:p>
          <w:p>
            <w:pPr>
              <w:jc w:val="left"/>
            </w:pPr>
            <w:r>
              <w:rPr>
                <w:rFonts w:ascii="Arial" w:cs="Arial" w:eastAsia="Arial" w:hAnsi="Arial"/>
                <w:sz w:val="24"/>
                <w:szCs w:val="24"/>
              </w:rPr>
              <w:t xml:space="preserve">на двигателе</w:t>
            </w:r>
          </w:p>
          <w:p>
            <w:pPr>
              <w:jc w:val="left"/>
            </w:pPr>
            <w:r>
              <w:rPr>
                <w:rFonts w:ascii="Arial" w:cs="Arial" w:eastAsia="Arial" w:hAnsi="Arial"/>
                <w:sz w:val="24"/>
                <w:szCs w:val="24"/>
              </w:rPr>
              <w:t xml:space="preserve">внутреннего</w:t>
            </w:r>
          </w:p>
          <w:p>
            <w:pPr>
              <w:jc w:val="left"/>
            </w:pPr>
            <w:r>
              <w:rPr>
                <w:rFonts w:ascii="Arial" w:cs="Arial" w:eastAsia="Arial" w:hAnsi="Arial"/>
                <w:sz w:val="24"/>
                <w:szCs w:val="24"/>
              </w:rPr>
              <w:t xml:space="preserve">сгорания)</w:t>
            </w:r>
          </w:p>
          <w:p>
            <w:pPr>
              <w:jc w:val="left"/>
            </w:pPr>
            <w:r>
              <w:rPr>
                <w:rFonts w:ascii="Arial" w:cs="Arial" w:eastAsia="Arial" w:hAnsi="Arial"/>
                <w:sz w:val="24"/>
                <w:szCs w:val="24"/>
              </w:rPr>
              <w:t xml:space="preserve"/>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001</w:t>
            </w:r>
          </w:p>
        </w:tc>
        <w:tc>
          <w:tcPr>
            <w:tcW w:type="dxa" w:w="6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vMerge w:val="continue"/>
            <w:tcBorders>
              <w:top w:val="none" w:color="auto" w:sz="0"/>
              <w:left w:val="single" w:color="CBBF9E" w:sz="4"/>
              <w:bottom w:val="single" w:color="CBBF9E" w:sz="4"/>
              <w:right w:val="single" w:color="CBBF9E" w:sz="4"/>
            </w:tcBorders>
          </w:tcP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6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vMerge w:val="continue"/>
            <w:tcBorders>
              <w:top w:val="none" w:color="auto" w:sz="0"/>
              <w:left w:val="single" w:color="CBBF9E" w:sz="4"/>
              <w:bottom w:val="single" w:color="CBBF9E" w:sz="4"/>
              <w:right w:val="single" w:color="CBBF9E" w:sz="4"/>
            </w:tcBorders>
          </w:tcP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003</w:t>
            </w:r>
          </w:p>
        </w:tc>
        <w:tc>
          <w:tcPr>
            <w:tcW w:type="dxa" w:w="6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комбайны, дорожно-строительные машины</w:t>
            </w:r>
          </w:p>
        </w:tc>
      </w:tr>
      <w:tr>
        <w:tc>
          <w:tcPr>
            <w:vMerge w:val="continue"/>
            <w:tcBorders>
              <w:top w:val="none" w:color="auto" w:sz="0"/>
              <w:left w:val="single" w:color="CBBF9E" w:sz="4"/>
              <w:bottom w:val="single" w:color="CBBF9E" w:sz="4"/>
              <w:right w:val="single" w:color="CBBF9E" w:sz="4"/>
            </w:tcBorders>
          </w:tcP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004</w:t>
            </w:r>
          </w:p>
        </w:tc>
        <w:tc>
          <w:tcPr>
            <w:tcW w:type="dxa" w:w="6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и комбайны), используемые в сельскохозяйственном производстве</w:t>
            </w:r>
          </w:p>
        </w:tc>
      </w:tr>
      <w:tr>
        <w:tc>
          <w:tcPr>
            <w:vMerge w:val="continue"/>
            <w:tcBorders>
              <w:top w:val="none" w:color="auto" w:sz="0"/>
              <w:left w:val="single" w:color="CBBF9E" w:sz="4"/>
              <w:bottom w:val="single" w:color="CBBF9E" w:sz="4"/>
              <w:right w:val="single" w:color="CBBF9E" w:sz="4"/>
            </w:tcBorders>
          </w:tcP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6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r>
      <w:tr>
        <w:tc>
          <w:tcPr>
            <w:vMerge w:val="continue"/>
            <w:tcBorders>
              <w:top w:val="none" w:color="auto" w:sz="0"/>
              <w:left w:val="single" w:color="CBBF9E" w:sz="4"/>
              <w:bottom w:val="single" w:color="CBBF9E" w:sz="4"/>
              <w:right w:val="single" w:color="CBBF9E" w:sz="4"/>
            </w:tcBorders>
          </w:tcP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6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w:t>
            </w:r>
          </w:p>
          <w:p>
            <w:pPr>
              <w:jc w:val="left"/>
            </w:pPr>
            <w:r>
              <w:rPr>
                <w:rFonts w:ascii="Arial" w:cs="Arial" w:eastAsia="Arial" w:hAnsi="Arial"/>
                <w:sz w:val="24"/>
                <w:szCs w:val="24"/>
              </w:rPr>
              <w:t xml:space="preserve"> (другие)</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007</w:t>
            </w:r>
          </w:p>
        </w:tc>
        <w:tc>
          <w:tcPr>
            <w:tcW w:type="dxa" w:w="6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транспортные средства, самоходные машины и механизмы, за исключением транспортных средств с кодами с 001 по 006 - по стоимости приобретения</w:t>
            </w:r>
          </w:p>
        </w:tc>
      </w:tr>
    </w:tbl>
    <w:p>
      <w:pPr>
        <w:spacing w:after="120"/>
        <w:jc w:val="both"/>
      </w:pPr>
      <w:r>
        <w:rPr>
          <w:rFonts w:ascii="Arial" w:cs="Arial" w:eastAsia="Arial" w:hAnsi="Arial"/>
          <w:sz w:val="24"/>
          <w:szCs w:val="24"/>
        </w:rPr>
        <w:t xml:space="preserve">Примечание: транспортным средствам присвоен буквенный код, в зависимости от того, является ли двигатель, на котором работает транспортное средство, двигателем внутреннего сгорания или нет, а также код вида транспортного средства. </w:t>
      </w:r>
    </w:p>
    <w:p>
      <w:pPr>
        <w:spacing w:after="120"/>
        <w:jc w:val="both"/>
      </w:pPr>
      <w:r>
        <w:rPr>
          <w:rFonts w:ascii="Arial" w:cs="Arial" w:eastAsia="Arial" w:hAnsi="Arial"/>
          <w:sz w:val="24"/>
          <w:szCs w:val="24"/>
        </w:rPr>
        <w:t xml:space="preserve">136. В ячейках графы 1 указывается код вида двигателя транспортного средства:</w:t>
      </w:r>
    </w:p>
    <w:p>
      <w:pPr>
        <w:spacing w:after="120"/>
        <w:jc w:val="both"/>
      </w:pPr>
      <w:r>
        <w:rPr>
          <w:rFonts w:ascii="Arial" w:cs="Arial" w:eastAsia="Arial" w:hAnsi="Arial"/>
          <w:sz w:val="24"/>
          <w:szCs w:val="24"/>
        </w:rPr>
        <w:t xml:space="preserve">1) если транспортное средство работает на двигателе внутреннего сгорания, указывается код «А». В данную группу включаются транспортные средства, обозначенные кодами с 001 по 006;</w:t>
      </w:r>
    </w:p>
    <w:p>
      <w:pPr>
        <w:spacing w:after="120"/>
        <w:jc w:val="both"/>
      </w:pPr>
      <w:r>
        <w:rPr>
          <w:rFonts w:ascii="Arial" w:cs="Arial" w:eastAsia="Arial" w:hAnsi="Arial"/>
          <w:sz w:val="24"/>
          <w:szCs w:val="24"/>
        </w:rPr>
        <w:t xml:space="preserve">2) если транспортное средство работает не на двигателе внутреннего сгорания, указывается код «Б». Данный код указывается для транспортных средств, обозначенных кодом 007.</w:t>
      </w:r>
    </w:p>
    <w:p>
      <w:pPr>
        <w:spacing w:after="120"/>
        <w:jc w:val="both"/>
      </w:pPr>
      <w:r>
        <w:rPr>
          <w:rFonts w:ascii="Arial" w:cs="Arial" w:eastAsia="Arial" w:hAnsi="Arial"/>
          <w:sz w:val="24"/>
          <w:szCs w:val="24"/>
        </w:rPr>
        <w:t xml:space="preserve">137. В ячейках графы 2 указывается код вида транспортного средства с 001 по 007.</w:t>
      </w:r>
    </w:p>
    <w:p>
      <w:pPr>
        <w:spacing w:after="120"/>
        <w:jc w:val="both"/>
      </w:pPr>
      <w:r>
        <w:rPr>
          <w:rFonts w:ascii="Arial" w:cs="Arial" w:eastAsia="Arial" w:hAnsi="Arial"/>
          <w:sz w:val="24"/>
          <w:szCs w:val="24"/>
        </w:rPr>
        <w:t xml:space="preserve">138. В ячейках графы 3 указывается код пользователя имущества. В пункте 128 настоящего Порядка представлена таблица кодов пользователей имущества.</w:t>
      </w:r>
    </w:p>
    <w:p>
      <w:pPr>
        <w:spacing w:after="120"/>
        <w:jc w:val="both"/>
      </w:pPr>
      <w:r>
        <w:rPr>
          <w:rFonts w:ascii="Arial" w:cs="Arial" w:eastAsia="Arial" w:hAnsi="Arial"/>
          <w:sz w:val="24"/>
          <w:szCs w:val="24"/>
        </w:rPr>
        <w:t xml:space="preserve">139. В ячейках графы 4 указывается код категории объекта имущества участка в соответствии с пунктом 131 настоящего Порядка.</w:t>
      </w:r>
    </w:p>
    <w:p>
      <w:pPr>
        <w:spacing w:after="120"/>
        <w:jc w:val="both"/>
      </w:pPr>
      <w:r>
        <w:rPr>
          <w:rFonts w:ascii="Arial" w:cs="Arial" w:eastAsia="Arial" w:hAnsi="Arial"/>
          <w:sz w:val="24"/>
          <w:szCs w:val="24"/>
        </w:rPr>
        <w:t xml:space="preserve">140. В ячейках графы 5 указывается марка транспортного средства в соответствии со свидетельством о регистрации транспортного средства.</w:t>
      </w:r>
    </w:p>
    <w:p>
      <w:pPr>
        <w:spacing w:after="120"/>
        <w:jc w:val="both"/>
      </w:pPr>
      <w:r>
        <w:rPr>
          <w:rFonts w:ascii="Arial" w:cs="Arial" w:eastAsia="Arial" w:hAnsi="Arial"/>
          <w:sz w:val="24"/>
          <w:szCs w:val="24"/>
        </w:rPr>
        <w:t xml:space="preserve">141. В ячейках графы 6 указывается сумма налога по каждому транспортному средству. По облагаемым транспортным средствам указывается сумма налога, ранее рассчитанная и отраженная в информационном расчете по налогу на имущество, который представлен налогоплательщиком в налоговый орган в соответствии с частью 5 статьи 332 Налогового кодекса:</w:t>
      </w:r>
    </w:p>
    <w:p>
      <w:pPr>
        <w:spacing w:after="120"/>
        <w:jc w:val="both"/>
      </w:pPr>
      <w:r>
        <w:rPr>
          <w:rFonts w:ascii="Arial" w:cs="Arial" w:eastAsia="Arial" w:hAnsi="Arial"/>
          <w:sz w:val="24"/>
          <w:szCs w:val="24"/>
        </w:rPr>
        <w:t xml:space="preserve"> если транспортное средство, по которому был представлен информационный расчет, находился в собственности налогоплательщика в течение отчетного года, сумма исчисленного налога переносится из информационного расчета в данное приложение по каждому транспортному средству;</w:t>
      </w:r>
    </w:p>
    <w:p>
      <w:pPr>
        <w:spacing w:after="120"/>
        <w:jc w:val="both"/>
      </w:pPr>
      <w:r>
        <w:rPr>
          <w:rFonts w:ascii="Arial" w:cs="Arial" w:eastAsia="Arial" w:hAnsi="Arial"/>
          <w:sz w:val="24"/>
          <w:szCs w:val="24"/>
        </w:rPr>
        <w:t xml:space="preserve">если транспортное средство выбыло или было приобретено в течение отчетного периода после представления информационного расчета, то оно должно было быть отражено в дополнительных информационных расчетах, которые предоставляются по факту приобретения или выбытия каких-либо объектов;</w:t>
      </w:r>
    </w:p>
    <w:p>
      <w:pPr>
        <w:spacing w:after="120"/>
        <w:jc w:val="both"/>
      </w:pPr>
      <w:r>
        <w:rPr>
          <w:rFonts w:ascii="Arial" w:cs="Arial" w:eastAsia="Arial" w:hAnsi="Arial"/>
          <w:sz w:val="24"/>
          <w:szCs w:val="24"/>
        </w:rPr>
        <w:t xml:space="preserve">3) если транспортное средство относится к необлагаемым, не подлежащим налогообложению, а также подлежащим льготному налогообложению, в соответствующей ячейке графы 6 указывается цифра «0» либо сумма налога, подлежащая уплате с учетом предоставленной льготы.</w:t>
      </w:r>
    </w:p>
    <w:p>
      <w:pPr>
        <w:spacing w:after="120"/>
        <w:jc w:val="both"/>
      </w:pPr>
      <w:r>
        <w:rPr>
          <w:rFonts w:ascii="Arial" w:cs="Arial" w:eastAsia="Arial" w:hAnsi="Arial"/>
          <w:sz w:val="24"/>
          <w:szCs w:val="24"/>
        </w:rPr>
        <w:t xml:space="preserve">142. В случае, если в Расшифровке после указания показателей по объектам имущества 4 группы, находящихся в собственности налогоплательщика, остались незаполненные строки, они перечеркиваются на всю длину и ширину знаком «Z».</w:t>
      </w:r>
    </w:p>
    <w:p>
      <w:pPr>
        <w:spacing w:after="120"/>
        <w:jc w:val="both"/>
      </w:pPr>
      <w:r>
        <w:rPr>
          <w:rFonts w:ascii="Arial" w:cs="Arial" w:eastAsia="Arial" w:hAnsi="Arial"/>
          <w:sz w:val="24"/>
          <w:szCs w:val="24"/>
        </w:rPr>
        <w:t xml:space="preserve">143. В ячейке «Итого» Расшифровки указывается общая сумма налога на имущество по объектам имущества 4 группы, которая равна сумме значений заполненных ячеек графы 6.</w:t>
      </w:r>
    </w:p>
    <w:p>
      <w:pPr>
        <w:spacing w:after="120"/>
        <w:jc w:val="both"/>
      </w:pPr>
      <w:r>
        <w:rPr>
          <w:rFonts w:ascii="Arial" w:cs="Arial" w:eastAsia="Arial" w:hAnsi="Arial"/>
          <w:sz w:val="24"/>
          <w:szCs w:val="24"/>
        </w:rPr>
        <w:t xml:space="preserve">144. Показатели Расшифровки по объектам имущества 1, 2 и 3 групп и Расшифровки по объектам имущества 4 группы переносятся в Раздел I приложения 5.</w:t>
      </w:r>
    </w:p>
    <w:p>
      <w:pPr>
        <w:spacing w:after="120"/>
        <w:jc w:val="both"/>
      </w:pPr>
      <w:r>
        <w:rPr>
          <w:rFonts w:ascii="Arial" w:cs="Arial" w:eastAsia="Arial" w:hAnsi="Arial"/>
          <w:sz w:val="24"/>
          <w:szCs w:val="24"/>
        </w:rPr>
        <w:t xml:space="preserve">145. В разделе II приложения 5 в ячейках, расположенных справа от названий Расшифровок, указывается знак «Х», что будет означать представление отмеченной Расшифровки, а также указывается количество листов в каждой из Расшифровок.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Заполнение приложения 6</w:t>
      </w:r>
    </w:p>
    <w:p>
      <w:pPr>
        <w:spacing w:after="120"/>
        <w:jc w:val="both"/>
      </w:pPr>
      <w:r>
        <w:rPr>
          <w:rFonts w:ascii="Arial" w:cs="Arial" w:eastAsia="Arial" w:hAnsi="Arial"/>
          <w:sz w:val="24"/>
          <w:szCs w:val="24"/>
        </w:rPr>
        <w:t xml:space="preserve">«Земельный налог» (FORM STI – 101 - 006)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В приложении 6 налогоплательщик указывает информацию обо всех земельных участках, принадлежащих ему на праве собственности, срочного (временного пользования), также находящихся в пользовании на праве оперативного управления, включая освобожденные/не подлежащие налогообложению, а также подлежащие льготному налогообложению.</w:t>
      </w:r>
    </w:p>
    <w:p>
      <w:pPr>
        <w:spacing w:after="120"/>
        <w:jc w:val="both"/>
      </w:pPr>
      <w:r>
        <w:rPr>
          <w:rFonts w:ascii="Arial" w:cs="Arial" w:eastAsia="Arial" w:hAnsi="Arial"/>
          <w:sz w:val="24"/>
          <w:szCs w:val="24"/>
        </w:rPr>
        <w:t xml:space="preserve">Примечание: налогоплательщиком земельного налога признается собственник земли или землепользователь, если его право собственности или пользования земельным участком удостоверено государственным актом о праве частной собственности на земельный участок, удостоверением на право временного пользования земельным участком, свидетельством о праве частной собственности на земельную долю в соответствии с Земельным кодексом Кыргызской Республики независимо от того, используется или не используется земельный участок фактически.</w:t>
      </w:r>
    </w:p>
    <w:p>
      <w:pPr>
        <w:spacing w:after="120"/>
        <w:jc w:val="both"/>
      </w:pPr>
      <w:r>
        <w:rPr>
          <w:rFonts w:ascii="Arial" w:cs="Arial" w:eastAsia="Arial" w:hAnsi="Arial"/>
          <w:sz w:val="24"/>
          <w:szCs w:val="24"/>
        </w:rPr>
        <w:t xml:space="preserve">Налоговой базой для исчисления земельного налога является площадь земельного участка, указанная в правоудостоверяющем документе.</w:t>
      </w:r>
    </w:p>
    <w:p>
      <w:pPr>
        <w:spacing w:after="120"/>
        <w:jc w:val="both"/>
      </w:pPr>
      <w:r>
        <w:rPr>
          <w:rFonts w:ascii="Arial" w:cs="Arial" w:eastAsia="Arial" w:hAnsi="Arial"/>
          <w:sz w:val="24"/>
          <w:szCs w:val="24"/>
        </w:rPr>
        <w:t xml:space="preserve">По земельному участку, находящемуся в общей собственности или пользовании нескольких лиц, налогоплательщиком земельного налога является каждое из этих лиц в долях, установленных правоудостоверяющим документом либо определенных соглашением сторон.</w:t>
      </w:r>
    </w:p>
    <w:p>
      <w:pPr>
        <w:spacing w:after="120"/>
        <w:jc w:val="both"/>
      </w:pPr>
      <w:r>
        <w:rPr>
          <w:rFonts w:ascii="Arial" w:cs="Arial" w:eastAsia="Arial" w:hAnsi="Arial"/>
          <w:sz w:val="24"/>
          <w:szCs w:val="24"/>
        </w:rPr>
        <w:t xml:space="preserve">По земельному участку, находящемуся в общей собственности или пользовании нескольких лиц, налоговой базой для каждого из плательщиков является доля земельного участка, установленная правоудостоверяющим документом либо определенная соглашением собственников (пользователей).</w:t>
      </w:r>
    </w:p>
    <w:p>
      <w:pPr>
        <w:spacing w:after="120"/>
        <w:jc w:val="both"/>
      </w:pPr>
      <w:r>
        <w:rPr>
          <w:rFonts w:ascii="Arial" w:cs="Arial" w:eastAsia="Arial" w:hAnsi="Arial"/>
          <w:sz w:val="24"/>
          <w:szCs w:val="24"/>
        </w:rPr>
        <w:t xml:space="preserve">147. В случае отсутствия правоудостоверяющего документа на земельный участок основанием для признания землепользователя налогоплательщиком земельного налога является фактическое владение и/или пользование таким участком.</w:t>
      </w:r>
    </w:p>
    <w:p>
      <w:pPr>
        <w:spacing w:after="120"/>
        <w:jc w:val="both"/>
      </w:pPr>
      <w:r>
        <w:rPr>
          <w:rFonts w:ascii="Arial" w:cs="Arial" w:eastAsia="Arial" w:hAnsi="Arial"/>
          <w:sz w:val="24"/>
          <w:szCs w:val="24"/>
        </w:rPr>
        <w:t xml:space="preserve">148. В зависимости от назначения земельного участка, ему присваивается код назначения земельного участка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9"/>
        <w:gridCol w:w="7829"/>
      </w:tblGrid>
      <w:tr>
        <w:tc>
          <w:tcPr>
            <w:tcW w:type="dxa" w:w="23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78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Назначение земельного участка</w:t>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С/Х</w:t>
            </w:r>
          </w:p>
        </w:tc>
        <w:tc>
          <w:tcPr>
            <w:tcW w:type="dxa" w:w="7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Сельскохозяйственного назначения</w:t>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НС/Х</w:t>
            </w:r>
          </w:p>
        </w:tc>
        <w:tc>
          <w:tcPr>
            <w:tcW w:type="dxa" w:w="7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Несельскохозяйственного назначения, включая земли населенных пунктов</w:t>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ПП/С</w:t>
            </w:r>
          </w:p>
        </w:tc>
        <w:tc>
          <w:tcPr>
            <w:tcW w:type="dxa" w:w="7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Придомовой, приусадебный, садово-огородный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149. В зависимости от назначения и месторасположения земельного участка, ему присваивается специальный код вида земельного участка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2"/>
        <w:gridCol w:w="9236"/>
      </w:tblGrid>
      <w:tr>
        <w:tc>
          <w:tcPr>
            <w:tcW w:type="dxa" w:w="9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92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участка</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орошаемая</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Бишкек, Токмок, Кара-Балта, Ош, Джалал-Абад, Каракол, Талас, Чолпон-Ата</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Нарын, Балыкчы, Кант, Шопоков, Ак-Суу, Кара-Суу, Узген, Майлуу-Суу, Таш-Кумыр, Кок-Янгак, Кызыл-Кия</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Остальные города и поселки</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Сельские населенные пункты</w:t>
            </w:r>
          </w:p>
        </w:tc>
      </w:tr>
    </w:tbl>
    <w:p>
      <w:pPr>
        <w:spacing w:after="120"/>
        <w:jc w:val="both"/>
      </w:pPr>
      <w:r>
        <w:rPr>
          <w:rFonts w:ascii="Arial" w:cs="Arial" w:eastAsia="Arial" w:hAnsi="Arial"/>
          <w:sz w:val="24"/>
          <w:szCs w:val="24"/>
        </w:rPr>
        <w:t xml:space="preserve">150. По облагаемому земельному участку данное приложение заполняется на основании данных представленных информационных расчетов по земельному налогу (FORM STI - 076, FORM STI - 077) за отчетный год. По земельному участку, освобожденному от налогообложения, а также подлежащему льготному налогообложению, данное приложение заполняется на основании данных, указанных в правоудостоверяющем и/или правоустановливающем документе на земельный участок.</w:t>
      </w:r>
    </w:p>
    <w:p>
      <w:pPr>
        <w:spacing w:after="120"/>
        <w:jc w:val="both"/>
      </w:pPr>
      <w:r>
        <w:rPr>
          <w:rFonts w:ascii="Arial" w:cs="Arial" w:eastAsia="Arial" w:hAnsi="Arial"/>
          <w:sz w:val="24"/>
          <w:szCs w:val="24"/>
        </w:rPr>
        <w:t xml:space="preserve">151. В зависимости от того, подлежит ли земельный участок налогообложению или нет, введен код категории земельного участка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4"/>
        <w:gridCol w:w="7794"/>
      </w:tblGrid>
      <w:tr>
        <w:tc>
          <w:tcPr>
            <w:tcW w:type="dxa" w:w="2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77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земельного участка</w:t>
            </w:r>
          </w:p>
        </w:tc>
      </w:tr>
      <w:tr>
        <w:tc>
          <w:tcPr>
            <w:tcW w:type="dxa" w:w="2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tc>
        <w:tc>
          <w:tcPr>
            <w:tcW w:type="dxa" w:w="7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2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w:t>
            </w:r>
          </w:p>
        </w:tc>
        <w:tc>
          <w:tcPr>
            <w:tcW w:type="dxa" w:w="7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2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w:t>
            </w:r>
          </w:p>
        </w:tc>
        <w:tc>
          <w:tcPr>
            <w:tcW w:type="dxa" w:w="7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земельный участок подлежит налогообложению на общих основаниях, ему присваивается код «О».</w:t>
      </w:r>
    </w:p>
    <w:p>
      <w:pPr>
        <w:spacing w:after="120"/>
        <w:jc w:val="both"/>
      </w:pPr>
      <w:r>
        <w:rPr>
          <w:rFonts w:ascii="Arial" w:cs="Arial" w:eastAsia="Arial" w:hAnsi="Arial"/>
          <w:sz w:val="24"/>
          <w:szCs w:val="24"/>
        </w:rPr>
        <w:t xml:space="preserve">Если земельный участок освобождаются от налогообложения в соответствии со статьей 343 Налогового кодекса, ему присваивается код «Н/О».</w:t>
      </w:r>
    </w:p>
    <w:p>
      <w:pPr>
        <w:spacing w:after="120"/>
        <w:jc w:val="both"/>
      </w:pPr>
      <w:r>
        <w:rPr>
          <w:rFonts w:ascii="Arial" w:cs="Arial" w:eastAsia="Arial" w:hAnsi="Arial"/>
          <w:sz w:val="24"/>
          <w:szCs w:val="24"/>
        </w:rPr>
        <w:t xml:space="preserve">Если налогоплательщику или на земельный участок установлена льгота в соответствии с частью 5 статьи 337 и/или со статьей 344 Налогового кодекса, то такому земельному участку присваивается код «Л/О».</w:t>
      </w:r>
    </w:p>
    <w:p>
      <w:pPr>
        <w:spacing w:after="120"/>
        <w:jc w:val="both"/>
      </w:pPr>
      <w:r>
        <w:rPr>
          <w:rFonts w:ascii="Arial" w:cs="Arial" w:eastAsia="Arial" w:hAnsi="Arial"/>
          <w:sz w:val="24"/>
          <w:szCs w:val="24"/>
        </w:rPr>
        <w:t xml:space="preserve">152. Для заполнения Раздела I приложения сначала заполняется Расшифровка приложения 6 по земельным участкам (FORM STI 102 – 006 - 01) в следующей последовательности:</w:t>
      </w:r>
    </w:p>
    <w:p>
      <w:pPr>
        <w:spacing w:after="120"/>
        <w:jc w:val="both"/>
      </w:pPr>
      <w:r>
        <w:rPr>
          <w:rFonts w:ascii="Arial" w:cs="Arial" w:eastAsia="Arial" w:hAnsi="Arial"/>
          <w:sz w:val="24"/>
          <w:szCs w:val="24"/>
        </w:rPr>
        <w:t xml:space="preserve">1) сельскохозяйственного назначения;</w:t>
      </w:r>
    </w:p>
    <w:p>
      <w:pPr>
        <w:spacing w:after="120"/>
        <w:jc w:val="both"/>
      </w:pPr>
      <w:r>
        <w:rPr>
          <w:rFonts w:ascii="Arial" w:cs="Arial" w:eastAsia="Arial" w:hAnsi="Arial"/>
          <w:sz w:val="24"/>
          <w:szCs w:val="24"/>
        </w:rPr>
        <w:t xml:space="preserve">2) несельскохозяйственного назначения, включая земли населенных пунктов;</w:t>
      </w:r>
    </w:p>
    <w:p>
      <w:pPr>
        <w:spacing w:after="120"/>
        <w:jc w:val="both"/>
      </w:pPr>
      <w:r>
        <w:rPr>
          <w:rFonts w:ascii="Arial" w:cs="Arial" w:eastAsia="Arial" w:hAnsi="Arial"/>
          <w:sz w:val="24"/>
          <w:szCs w:val="24"/>
        </w:rPr>
        <w:t xml:space="preserve">3) придомовому, приусадебному и садово-огородному земельному участку.</w:t>
      </w:r>
    </w:p>
    <w:p>
      <w:pPr>
        <w:spacing w:after="120"/>
        <w:jc w:val="both"/>
      </w:pPr>
      <w:r>
        <w:rPr>
          <w:rFonts w:ascii="Arial" w:cs="Arial" w:eastAsia="Arial" w:hAnsi="Arial"/>
          <w:sz w:val="24"/>
          <w:szCs w:val="24"/>
        </w:rPr>
        <w:t xml:space="preserve">153. В ячейках графы 1 Расшифровки указывается код назначения земельного участка в соответствии с пунктом 148 настоящего Порядка.</w:t>
      </w:r>
    </w:p>
    <w:p>
      <w:pPr>
        <w:spacing w:after="120"/>
        <w:jc w:val="both"/>
      </w:pPr>
      <w:r>
        <w:rPr>
          <w:rFonts w:ascii="Arial" w:cs="Arial" w:eastAsia="Arial" w:hAnsi="Arial"/>
          <w:sz w:val="24"/>
          <w:szCs w:val="24"/>
        </w:rPr>
        <w:t xml:space="preserve">154. В ячейках графы 2 Расшифровки указывается код вида земельного участка. Из таблицы пункта 149 настоящего Порядка выбирается соответствующий код вида земельного участка.</w:t>
      </w:r>
    </w:p>
    <w:p>
      <w:pPr>
        <w:spacing w:after="120"/>
        <w:jc w:val="both"/>
      </w:pPr>
      <w:r>
        <w:rPr>
          <w:rFonts w:ascii="Arial" w:cs="Arial" w:eastAsia="Arial" w:hAnsi="Arial"/>
          <w:sz w:val="24"/>
          <w:szCs w:val="24"/>
        </w:rPr>
        <w:t xml:space="preserve">155. В ячейках графы 3 Расшифровки указывается код пользователя земельного участка:</w:t>
      </w:r>
    </w:p>
    <w:p>
      <w:pPr>
        <w:spacing w:after="120"/>
        <w:jc w:val="both"/>
      </w:pPr>
      <w:r>
        <w:rPr>
          <w:rFonts w:ascii="Arial" w:cs="Arial" w:eastAsia="Arial" w:hAnsi="Arial"/>
          <w:sz w:val="24"/>
          <w:szCs w:val="24"/>
        </w:rPr>
        <w:t xml:space="preserve">1) собственник – «С»;</w:t>
      </w:r>
    </w:p>
    <w:p>
      <w:pPr>
        <w:spacing w:after="120"/>
        <w:jc w:val="both"/>
      </w:pPr>
      <w:r>
        <w:rPr>
          <w:rFonts w:ascii="Arial" w:cs="Arial" w:eastAsia="Arial" w:hAnsi="Arial"/>
          <w:sz w:val="24"/>
          <w:szCs w:val="24"/>
        </w:rPr>
        <w:t xml:space="preserve">2) долевой собственник – «ДС»;</w:t>
      </w:r>
    </w:p>
    <w:p>
      <w:pPr>
        <w:spacing w:after="120"/>
        <w:jc w:val="both"/>
      </w:pPr>
      <w:r>
        <w:rPr>
          <w:rFonts w:ascii="Arial" w:cs="Arial" w:eastAsia="Arial" w:hAnsi="Arial"/>
          <w:sz w:val="24"/>
          <w:szCs w:val="24"/>
        </w:rPr>
        <w:t xml:space="preserve">3) несобственник – «НС».</w:t>
      </w:r>
    </w:p>
    <w:p>
      <w:pPr>
        <w:spacing w:after="120"/>
        <w:jc w:val="both"/>
      </w:pPr>
      <w:r>
        <w:rPr>
          <w:rFonts w:ascii="Arial" w:cs="Arial" w:eastAsia="Arial" w:hAnsi="Arial"/>
          <w:sz w:val="24"/>
          <w:szCs w:val="24"/>
        </w:rPr>
        <w:t xml:space="preserve">156. В ячейках графы 4 Расшифровки указывается код района нахождения земельного участка, который является кодом налогового органа этого района.</w:t>
      </w:r>
    </w:p>
    <w:p>
      <w:pPr>
        <w:spacing w:after="120"/>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157. В ячейках графы 5 Расшифровки указывается идентификационный код земельного участка, который указан в Государственном акте о праве частной собственности на земельный участок или в Удостоверении временного пользования во вкладыше «План земельного участка» или «Экспликация земель сельскохозяйственного назначения».</w:t>
      </w:r>
    </w:p>
    <w:p>
      <w:pPr>
        <w:spacing w:after="120"/>
        <w:jc w:val="both"/>
      </w:pPr>
      <w:r>
        <w:rPr>
          <w:rFonts w:ascii="Arial" w:cs="Arial" w:eastAsia="Arial" w:hAnsi="Arial"/>
          <w:sz w:val="24"/>
          <w:szCs w:val="24"/>
        </w:rPr>
        <w:t xml:space="preserve">158. В ячейках графы 6 Расшифровки указывается код категории земельного участка в соответствии с пунктом 151 настоящего Порядка.</w:t>
      </w:r>
    </w:p>
    <w:p>
      <w:pPr>
        <w:spacing w:after="120"/>
        <w:jc w:val="both"/>
      </w:pPr>
      <w:r>
        <w:rPr>
          <w:rFonts w:ascii="Arial" w:cs="Arial" w:eastAsia="Arial" w:hAnsi="Arial"/>
          <w:sz w:val="24"/>
          <w:szCs w:val="24"/>
        </w:rPr>
        <w:t xml:space="preserve">159. В ячейках графы 7 Расшифровки указывается общая площадь земельного участка:</w:t>
      </w:r>
    </w:p>
    <w:p>
      <w:pPr>
        <w:spacing w:after="120"/>
        <w:jc w:val="both"/>
      </w:pPr>
      <w:r>
        <w:rPr>
          <w:rFonts w:ascii="Arial" w:cs="Arial" w:eastAsia="Arial" w:hAnsi="Arial"/>
          <w:sz w:val="24"/>
          <w:szCs w:val="24"/>
        </w:rPr>
        <w:t xml:space="preserve">1) для земельного участка сельскохозяйственного назначения - в гектарах;</w:t>
      </w:r>
    </w:p>
    <w:p>
      <w:pPr>
        <w:spacing w:after="120"/>
        <w:jc w:val="both"/>
      </w:pPr>
      <w:r>
        <w:rPr>
          <w:rFonts w:ascii="Arial" w:cs="Arial" w:eastAsia="Arial" w:hAnsi="Arial"/>
          <w:sz w:val="24"/>
          <w:szCs w:val="24"/>
        </w:rPr>
        <w:t xml:space="preserve">2) для земельного участка несельскохозяйственного назначения, включая земли населенных пунктов, а также для придомового, приусадебного и садово-огородного участков - в квадратных метрах.</w:t>
      </w:r>
    </w:p>
    <w:p>
      <w:pPr>
        <w:spacing w:after="120"/>
        <w:jc w:val="both"/>
      </w:pPr>
      <w:r>
        <w:rPr>
          <w:rFonts w:ascii="Arial" w:cs="Arial" w:eastAsia="Arial" w:hAnsi="Arial"/>
          <w:sz w:val="24"/>
          <w:szCs w:val="24"/>
        </w:rPr>
        <w:t xml:space="preserve">160. В ячейках графы 8 Расшифровки указывается сумма налога по земельным участкам. По облагаемому земельному участку отражается сумма, указанная:</w:t>
      </w:r>
    </w:p>
    <w:p>
      <w:pPr>
        <w:spacing w:after="120"/>
        <w:jc w:val="both"/>
      </w:pPr>
      <w:r>
        <w:rPr>
          <w:rFonts w:ascii="Arial" w:cs="Arial" w:eastAsia="Arial" w:hAnsi="Arial"/>
          <w:sz w:val="24"/>
          <w:szCs w:val="24"/>
        </w:rPr>
        <w:t xml:space="preserve">1) для земельного участка сельскохозяйственного назначения - в «Информационном расчете по земельному налогу» (FORM STI - 076);</w:t>
      </w:r>
    </w:p>
    <w:p>
      <w:pPr>
        <w:spacing w:after="120"/>
        <w:jc w:val="both"/>
      </w:pPr>
      <w:r>
        <w:rPr>
          <w:rFonts w:ascii="Arial" w:cs="Arial" w:eastAsia="Arial" w:hAnsi="Arial"/>
          <w:sz w:val="24"/>
          <w:szCs w:val="24"/>
        </w:rPr>
        <w:t xml:space="preserve">2) для земельного участка несельскохозяйственного назначения, включая земли населенных пунктов - в «Информационном расчете по земельному налогу» (FORM STI - 077);</w:t>
      </w:r>
    </w:p>
    <w:p>
      <w:pPr>
        <w:spacing w:after="120"/>
        <w:jc w:val="both"/>
      </w:pPr>
      <w:r>
        <w:rPr>
          <w:rFonts w:ascii="Arial" w:cs="Arial" w:eastAsia="Arial" w:hAnsi="Arial"/>
          <w:sz w:val="24"/>
          <w:szCs w:val="24"/>
        </w:rPr>
        <w:t xml:space="preserve">3) для придомового, приусадебного и садово-огородного участка - в «Уведомлении о начисленной сумме земельного налога». Уведомление направляется налоговым органом не позднее срока оплаты налога, то есть до 1 сентября текущего года.</w:t>
      </w:r>
    </w:p>
    <w:p>
      <w:pPr>
        <w:spacing w:after="120"/>
        <w:jc w:val="both"/>
      </w:pPr>
      <w:r>
        <w:rPr>
          <w:rFonts w:ascii="Arial" w:cs="Arial" w:eastAsia="Arial" w:hAnsi="Arial"/>
          <w:sz w:val="24"/>
          <w:szCs w:val="24"/>
        </w:rPr>
        <w:t xml:space="preserve">Примечание: неполучение уведомления не снимает с налогоплательщика обязанности по уплате налога. Ответственность за правильность исчисления и своевременную уплату налога также возлагается на налогоплательщика. Если уведомление не получено, налогоплательщик обязан самостоятельно исчислить и уплатить земельный налог в сроки, установленные Налоговым кодексом.</w:t>
      </w:r>
    </w:p>
    <w:p>
      <w:pPr>
        <w:spacing w:after="120"/>
        <w:jc w:val="both"/>
      </w:pPr>
      <w:r>
        <w:rPr>
          <w:rFonts w:ascii="Arial" w:cs="Arial" w:eastAsia="Arial" w:hAnsi="Arial"/>
          <w:sz w:val="24"/>
          <w:szCs w:val="24"/>
        </w:rPr>
        <w:t xml:space="preserve">Информационный расчет предоставляется в налоговый орган в срок, установленный статьей 342 Налогового кодекса; в случае каких-либо изменений в течение года информационный расчет представляется с учетом изменений.</w:t>
      </w:r>
    </w:p>
    <w:p>
      <w:pPr>
        <w:spacing w:after="120"/>
        <w:jc w:val="both"/>
      </w:pPr>
      <w:r>
        <w:rPr>
          <w:rFonts w:ascii="Arial" w:cs="Arial" w:eastAsia="Arial" w:hAnsi="Arial"/>
          <w:sz w:val="24"/>
          <w:szCs w:val="24"/>
        </w:rPr>
        <w:t xml:space="preserve">По земельному участку, освобожденному от налогообложения или подлежащему льготному налогообложению, в ячейках графы 8 указывается цифра «0» или соответствующая сумма налога к уплате с учетом предоставленной льготы.</w:t>
      </w:r>
    </w:p>
    <w:p>
      <w:pPr>
        <w:spacing w:after="120"/>
        <w:jc w:val="both"/>
      </w:pPr>
      <w:r>
        <w:rPr>
          <w:rFonts w:ascii="Arial" w:cs="Arial" w:eastAsia="Arial" w:hAnsi="Arial"/>
          <w:sz w:val="24"/>
          <w:szCs w:val="24"/>
        </w:rPr>
        <w:t xml:space="preserve">161. В случае, если в Расшифровке после указания показателей по земельным участкам, находящимся в собственности налогоплательщика, остались незаполненные строки, они перечеркиваются на всю длину и ширину знаком «Z».</w:t>
      </w:r>
    </w:p>
    <w:p>
      <w:pPr>
        <w:spacing w:after="120"/>
        <w:jc w:val="both"/>
      </w:pPr>
      <w:r>
        <w:rPr>
          <w:rFonts w:ascii="Arial" w:cs="Arial" w:eastAsia="Arial" w:hAnsi="Arial"/>
          <w:sz w:val="24"/>
          <w:szCs w:val="24"/>
        </w:rPr>
        <w:t xml:space="preserve">162. В ячейке «Итого» указывается общая сумма земельного налога налогоплательщика, равная сумме значений ячеек графы 8 Расшифровки.</w:t>
      </w:r>
    </w:p>
    <w:p>
      <w:pPr>
        <w:spacing w:after="120"/>
        <w:jc w:val="both"/>
      </w:pPr>
      <w:r>
        <w:rPr>
          <w:rFonts w:ascii="Arial" w:cs="Arial" w:eastAsia="Arial" w:hAnsi="Arial"/>
          <w:sz w:val="24"/>
          <w:szCs w:val="24"/>
        </w:rPr>
        <w:t xml:space="preserve">Примечание: если земельный участок принадлежал налогоплательщику на праве собственности или пользования в течение отчетного года, то налогоплательщик указывает всю расчетную сумму земельного налога в соответствующих ячейках. В случае, если земельный участок был приобретен или реализован в течение года после представления информационного расчета, то сумма земельного налога, причитающаяся к уплате продавцом и покупателем и указываемая ими в соответствующей ячейке, определяется в соответствии с порядком, установленным Налоговым кодексом.</w:t>
      </w:r>
    </w:p>
    <w:p>
      <w:pPr>
        <w:spacing w:after="120"/>
        <w:jc w:val="both"/>
      </w:pPr>
      <w:r>
        <w:rPr>
          <w:rFonts w:ascii="Arial" w:cs="Arial" w:eastAsia="Arial" w:hAnsi="Arial"/>
          <w:sz w:val="24"/>
          <w:szCs w:val="24"/>
        </w:rPr>
        <w:t xml:space="preserve">Сумма налога, подлежащая уплате за фактический период владения и/или пользования земельным участком стороной, передающей данные права, должна быть внесена в бюджет до или на дату государственной регистрации прав. При этом первоначальный плательщик земельного налога уплачивает сумму налога, исчисленную с 1 января текущего года до начала месяца, в котором он передает земельный участок.</w:t>
      </w:r>
    </w:p>
    <w:p>
      <w:pPr>
        <w:spacing w:after="120"/>
        <w:jc w:val="both"/>
      </w:pPr>
      <w:r>
        <w:rPr>
          <w:rFonts w:ascii="Arial" w:cs="Arial" w:eastAsia="Arial" w:hAnsi="Arial"/>
          <w:sz w:val="24"/>
          <w:szCs w:val="24"/>
        </w:rPr>
        <w:t xml:space="preserve">Последующий налогоплательщик земельного налога уплачивает сумму земельного налога, исчисленную за период с начала месяца, в котором у него возникло право на земельный участок.</w:t>
      </w:r>
    </w:p>
    <w:p>
      <w:pPr>
        <w:spacing w:after="120"/>
        <w:jc w:val="both"/>
      </w:pPr>
      <w:r>
        <w:rPr>
          <w:rFonts w:ascii="Arial" w:cs="Arial" w:eastAsia="Arial" w:hAnsi="Arial"/>
          <w:sz w:val="24"/>
          <w:szCs w:val="24"/>
        </w:rPr>
        <w:t xml:space="preserve">При государственной регистрации прав на земельный участок годовая сумма налога может быть внесена в бюджет одной из сторон по согласованию. В дальнейшем суммы налога, уплаченные при государственной регистрации прав на земельный участок, вторично не уплачиваются.</w:t>
      </w:r>
    </w:p>
    <w:p>
      <w:pPr>
        <w:spacing w:after="120"/>
        <w:jc w:val="both"/>
      </w:pPr>
      <w:r>
        <w:rPr>
          <w:rFonts w:ascii="Arial" w:cs="Arial" w:eastAsia="Arial" w:hAnsi="Arial"/>
          <w:sz w:val="24"/>
          <w:szCs w:val="24"/>
        </w:rPr>
        <w:t xml:space="preserve">В случае неуплаты земельного налога до или в момент государственной регистрации прав собственности или пользования на земельный участок в соответствии с требованиями Налогового кодекса, обязательство по уплате земельного налога за полный налоговый период, в котором была осуществлена передача прав, возлагается на приобретателя земельного участка.</w:t>
      </w:r>
    </w:p>
    <w:p>
      <w:pPr>
        <w:spacing w:after="120"/>
        <w:jc w:val="both"/>
      </w:pPr>
      <w:r>
        <w:rPr>
          <w:rFonts w:ascii="Arial" w:cs="Arial" w:eastAsia="Arial" w:hAnsi="Arial"/>
          <w:sz w:val="24"/>
          <w:szCs w:val="24"/>
        </w:rPr>
        <w:t xml:space="preserve">163. Показатели Расшифровки по земельным участкам, принадлежащим или находящимся в пользовании налогоплательщика, переносятся в раздел I приложения 6.</w:t>
      </w:r>
    </w:p>
    <w:p>
      <w:pPr>
        <w:spacing w:after="120"/>
        <w:jc w:val="both"/>
      </w:pPr>
      <w:r>
        <w:rPr>
          <w:rFonts w:ascii="Arial" w:cs="Arial" w:eastAsia="Arial" w:hAnsi="Arial"/>
          <w:sz w:val="24"/>
          <w:szCs w:val="24"/>
        </w:rPr>
        <w:t xml:space="preserve">164. В разделе II приложения 6 в ячейке, расположенной справа от названия Расшифровки, указывается знак «Х», что будет означать представление Расшифровки, а также указывается количество листов в Расшифровке.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Заполнение приложения 7</w:t>
      </w:r>
    </w:p>
    <w:p>
      <w:pPr>
        <w:spacing w:after="120"/>
        <w:jc w:val="both"/>
      </w:pPr>
      <w:r>
        <w:rPr>
          <w:rFonts w:ascii="Arial" w:cs="Arial" w:eastAsia="Arial" w:hAnsi="Arial"/>
          <w:sz w:val="24"/>
          <w:szCs w:val="24"/>
        </w:rPr>
        <w:t xml:space="preserve">«Специальные налоговые режимы» (FORM STI – 101 - 007)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 Приложение 7 заполняется налогоплательщиком, осуществляющим уплату налогов по одному или нескольким специальным налоговым режимам:</w:t>
      </w:r>
    </w:p>
    <w:p>
      <w:pPr>
        <w:spacing w:after="120"/>
        <w:jc w:val="both"/>
      </w:pPr>
      <w:r>
        <w:rPr>
          <w:rFonts w:ascii="Arial" w:cs="Arial" w:eastAsia="Arial" w:hAnsi="Arial"/>
          <w:sz w:val="24"/>
          <w:szCs w:val="24"/>
        </w:rPr>
        <w:t xml:space="preserve">1) если налогоплательщик уплачивает налоги по одному или нескольким специальным налоговым режимам, то в соответствии с требованиями Налогового кодекса он обязан вести раздельный учет по каждому из режимов;</w:t>
      </w:r>
    </w:p>
    <w:p>
      <w:pPr>
        <w:spacing w:after="120"/>
        <w:jc w:val="both"/>
      </w:pPr>
      <w:r>
        <w:rPr>
          <w:rFonts w:ascii="Arial" w:cs="Arial" w:eastAsia="Arial" w:hAnsi="Arial"/>
          <w:sz w:val="24"/>
          <w:szCs w:val="24"/>
        </w:rPr>
        <w:t xml:space="preserve">2) если налогоплательщик уплачивает налоги по общему налоговому режиму, а также по одному или нескольким специальным налоговым режимам, то результаты деятельности организации по каждому из налоговых режимов отражаются в соответствующих приложениях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9.1. Заполнение раздела I. «Единый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 В ячейке 750 указывается выручка без учета НДС согласно данным «Отчета по единому налогу субъектов малого предпринимательства» (FORM STI - 091), который представлялся налогоплательщиком в налоговый орган ежеквартально в течение отчетного года.</w:t>
      </w:r>
    </w:p>
    <w:p>
      <w:pPr>
        <w:spacing w:after="120"/>
        <w:jc w:val="both"/>
      </w:pPr>
      <w:r>
        <w:rPr>
          <w:rFonts w:ascii="Arial" w:cs="Arial" w:eastAsia="Arial" w:hAnsi="Arial"/>
          <w:sz w:val="24"/>
          <w:szCs w:val="24"/>
        </w:rPr>
        <w:t xml:space="preserve">167. В ячейке 751 указываются расходы налогоплательщика, понесенные согласно данным раздельного бухгалтерского учета по деятельности, осуществляемой по упрощенному налоговому режиму.</w:t>
      </w:r>
    </w:p>
    <w:p>
      <w:pPr>
        <w:spacing w:after="120"/>
        <w:jc w:val="both"/>
      </w:pPr>
      <w:r>
        <w:rPr>
          <w:rFonts w:ascii="Arial" w:cs="Arial" w:eastAsia="Arial" w:hAnsi="Arial"/>
          <w:sz w:val="24"/>
          <w:szCs w:val="24"/>
        </w:rPr>
        <w:t xml:space="preserve">168. В ячейке 752 указывается разница значений ячеек: 752 = 750 - 751.</w:t>
      </w:r>
    </w:p>
    <w:p>
      <w:pPr>
        <w:spacing w:after="120"/>
        <w:jc w:val="both"/>
      </w:pPr>
      <w:r>
        <w:rPr>
          <w:rFonts w:ascii="Arial" w:cs="Arial" w:eastAsia="Arial" w:hAnsi="Arial"/>
          <w:sz w:val="24"/>
          <w:szCs w:val="24"/>
        </w:rPr>
        <w:t xml:space="preserve">169. В ячейке 753 указывается общая сумма единого налога, ранее указанная в отчетах.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9.2. Заполнение раздела II.</w:t>
      </w:r>
    </w:p>
    <w:p>
      <w:pPr>
        <w:spacing w:after="120"/>
        <w:jc w:val="both"/>
      </w:pPr>
      <w:r>
        <w:rPr>
          <w:rFonts w:ascii="Arial" w:cs="Arial" w:eastAsia="Arial" w:hAnsi="Arial"/>
          <w:sz w:val="24"/>
          <w:szCs w:val="24"/>
        </w:rPr>
        <w:t xml:space="preserve">«Налог на основе обязательного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170. В ячейке 754 указывается количество дней деятельности налогоплательщика на основе обязательного патента.</w:t>
      </w:r>
    </w:p>
    <w:p>
      <w:pPr>
        <w:spacing w:after="120"/>
        <w:jc w:val="both"/>
      </w:pPr>
      <w:r>
        <w:rPr>
          <w:rFonts w:ascii="Arial" w:cs="Arial" w:eastAsia="Arial" w:hAnsi="Arial"/>
          <w:sz w:val="24"/>
          <w:szCs w:val="24"/>
        </w:rPr>
        <w:t xml:space="preserve">171. В ячейке 755 указывается общая сумма полученных доходов от осуществления деятельности на основе обязательных патентов за отчетный год по данным бухгалтерского учета. Отражение суммы вышеуказанного дохода дополнительного налогообложения не влечет.</w:t>
      </w:r>
    </w:p>
    <w:p>
      <w:pPr>
        <w:spacing w:after="120"/>
        <w:jc w:val="both"/>
      </w:pPr>
      <w:r>
        <w:rPr>
          <w:rFonts w:ascii="Arial" w:cs="Arial" w:eastAsia="Arial" w:hAnsi="Arial"/>
          <w:sz w:val="24"/>
          <w:szCs w:val="24"/>
        </w:rPr>
        <w:t xml:space="preserve">172. В ячейке 756 указывается сумма произведенных расходов по деятельности организации на основе обязательного патента по данным бухгалтерского учета.</w:t>
      </w:r>
    </w:p>
    <w:p>
      <w:pPr>
        <w:spacing w:after="120"/>
        <w:jc w:val="both"/>
      </w:pPr>
      <w:r>
        <w:rPr>
          <w:rFonts w:ascii="Arial" w:cs="Arial" w:eastAsia="Arial" w:hAnsi="Arial"/>
          <w:sz w:val="24"/>
          <w:szCs w:val="24"/>
        </w:rPr>
        <w:t xml:space="preserve">173. В ячейке 757 указывается разница значений ячеек: 757 = 755 – 756.</w:t>
      </w:r>
    </w:p>
    <w:p>
      <w:pPr>
        <w:spacing w:after="120"/>
        <w:jc w:val="both"/>
      </w:pPr>
      <w:r>
        <w:rPr>
          <w:rFonts w:ascii="Arial" w:cs="Arial" w:eastAsia="Arial" w:hAnsi="Arial"/>
          <w:sz w:val="24"/>
          <w:szCs w:val="24"/>
        </w:rPr>
        <w:t xml:space="preserve">174. В ячейке 758 указывается общая сумма налога на основе обязательного патента, уплаченная в течение отчетного года.</w:t>
      </w:r>
    </w:p>
    <w:p>
      <w:pPr>
        <w:spacing w:after="120"/>
        <w:jc w:val="both"/>
      </w:pPr>
      <w:r>
        <w:rPr>
          <w:rFonts w:ascii="Arial" w:cs="Arial" w:eastAsia="Arial" w:hAnsi="Arial"/>
          <w:sz w:val="24"/>
          <w:szCs w:val="24"/>
        </w:rPr>
        <w:t xml:space="preserve">Примечание: патентом является выдаваемый органом налоговой службы документ, удостоверяющий право налогоплательщика осуществлять определенный вид деятельности и уплату налогов по данному виду деятельности, а также подтверждающий получение доходов в течение времени, в котором действовал патент. Бланки патента являются документами строгой отчетности и подлежат хранению в течение срока исковой давности, то есть в течение 6 лет.</w:t>
      </w:r>
    </w:p>
    <w:p>
      <w:pPr>
        <w:spacing w:after="120"/>
        <w:jc w:val="both"/>
      </w:pPr>
      <w:r>
        <w:rPr>
          <w:rFonts w:ascii="Arial" w:cs="Arial" w:eastAsia="Arial" w:hAnsi="Arial"/>
          <w:sz w:val="24"/>
          <w:szCs w:val="24"/>
        </w:rPr>
        <w:t xml:space="preserve">Патент действителен только на той территории, где был выдан (район, город без районного деления или город Бишкек). Передача патента или его копии в целях осуществления предпринимательской деятельности другим лицом запрещается.</w:t>
      </w:r>
    </w:p>
    <w:p>
      <w:pPr>
        <w:spacing w:after="120"/>
        <w:jc w:val="both"/>
      </w:pPr>
      <w:r>
        <w:rPr>
          <w:rFonts w:ascii="Arial" w:cs="Arial" w:eastAsia="Arial" w:hAnsi="Arial"/>
          <w:sz w:val="24"/>
          <w:szCs w:val="24"/>
        </w:rPr>
        <w:t xml:space="preserve">Налог на основе обязательного патента (далее - налог) уплачивается на обязательной основе в отношении видов деятельности, установленных статьей 348 Налогового кодекса.</w:t>
      </w:r>
    </w:p>
    <w:p>
      <w:pPr>
        <w:spacing w:after="120"/>
        <w:jc w:val="both"/>
      </w:pPr>
      <w:r>
        <w:rPr>
          <w:rFonts w:ascii="Arial" w:cs="Arial" w:eastAsia="Arial" w:hAnsi="Arial"/>
          <w:sz w:val="24"/>
          <w:szCs w:val="24"/>
        </w:rPr>
        <w:t xml:space="preserve">Стоимость обязательного патента включает сумму следующих видов налогов:</w:t>
      </w:r>
    </w:p>
    <w:p>
      <w:pPr>
        <w:spacing w:after="120"/>
        <w:jc w:val="both"/>
      </w:pPr>
      <w:r>
        <w:rPr>
          <w:rFonts w:ascii="Arial" w:cs="Arial" w:eastAsia="Arial" w:hAnsi="Arial"/>
          <w:sz w:val="24"/>
          <w:szCs w:val="24"/>
        </w:rPr>
        <w:t xml:space="preserve">1) налог на прибыль;</w:t>
      </w:r>
    </w:p>
    <w:p>
      <w:pPr>
        <w:spacing w:after="120"/>
        <w:jc w:val="both"/>
      </w:pPr>
      <w:r>
        <w:rPr>
          <w:rFonts w:ascii="Arial" w:cs="Arial" w:eastAsia="Arial" w:hAnsi="Arial"/>
          <w:sz w:val="24"/>
          <w:szCs w:val="24"/>
        </w:rPr>
        <w:t xml:space="preserve">2) НДС на облагаемые поставки;</w:t>
      </w:r>
    </w:p>
    <w:p>
      <w:pPr>
        <w:spacing w:after="120"/>
        <w:jc w:val="both"/>
      </w:pPr>
      <w:r>
        <w:rPr>
          <w:rFonts w:ascii="Arial" w:cs="Arial" w:eastAsia="Arial" w:hAnsi="Arial"/>
          <w:sz w:val="24"/>
          <w:szCs w:val="24"/>
        </w:rPr>
        <w:t xml:space="preserve">3) налог с продаж.</w:t>
      </w:r>
    </w:p>
    <w:p>
      <w:pPr>
        <w:spacing w:after="120"/>
        <w:jc w:val="both"/>
      </w:pPr>
      <w:r>
        <w:rPr>
          <w:rFonts w:ascii="Arial" w:cs="Arial" w:eastAsia="Arial" w:hAnsi="Arial"/>
          <w:sz w:val="24"/>
          <w:szCs w:val="24"/>
        </w:rPr>
        <w:t xml:space="preserve">В случае, если у налогоплательщика есть объекты налогообложения по земельному налогу, налогу на имущество или он работает по нескольким налоговым режимам, налогоплательщик обязан исчислить и уплатить соответствующие налоги и заполнить те приложения к Декларации, для которых имеются показатели.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9.3. Заполнение раздела III.</w:t>
      </w:r>
    </w:p>
    <w:p>
      <w:pPr>
        <w:spacing w:after="120"/>
        <w:jc w:val="both"/>
      </w:pPr>
      <w:r>
        <w:rPr>
          <w:rFonts w:ascii="Arial" w:cs="Arial" w:eastAsia="Arial" w:hAnsi="Arial"/>
          <w:sz w:val="24"/>
          <w:szCs w:val="24"/>
        </w:rPr>
        <w:t xml:space="preserve">«Налоги на основе налогового контракта»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В ячейке 759 указывается общая сумма доходов, полученных за отчетный год по деятельности, осуществляемой на основе налогового контракта, согласно данным бухгалтерского учета.</w:t>
      </w:r>
    </w:p>
    <w:p>
      <w:pPr>
        <w:spacing w:after="120"/>
        <w:jc w:val="both"/>
      </w:pPr>
      <w:r>
        <w:rPr>
          <w:rFonts w:ascii="Arial" w:cs="Arial" w:eastAsia="Arial" w:hAnsi="Arial"/>
          <w:sz w:val="24"/>
          <w:szCs w:val="24"/>
        </w:rPr>
        <w:t xml:space="preserve">176. В ячейке 760 указывается общая сумма расходов, произведенных по деятельности, осуществляемой на основе налогового контракта, согласно данным бухгалтерского учета.</w:t>
      </w:r>
    </w:p>
    <w:p>
      <w:pPr>
        <w:spacing w:after="120"/>
        <w:jc w:val="both"/>
      </w:pPr>
      <w:r>
        <w:rPr>
          <w:rFonts w:ascii="Arial" w:cs="Arial" w:eastAsia="Arial" w:hAnsi="Arial"/>
          <w:sz w:val="24"/>
          <w:szCs w:val="24"/>
        </w:rPr>
        <w:t xml:space="preserve">177. В ячейке 761 указывается разница значений ячеек: 761 = 759 – 760.</w:t>
      </w:r>
    </w:p>
    <w:p>
      <w:pPr>
        <w:spacing w:after="120"/>
        <w:jc w:val="both"/>
      </w:pPr>
      <w:r>
        <w:rPr>
          <w:rFonts w:ascii="Arial" w:cs="Arial" w:eastAsia="Arial" w:hAnsi="Arial"/>
          <w:sz w:val="24"/>
          <w:szCs w:val="24"/>
        </w:rPr>
        <w:t xml:space="preserve">178. В ячейках 762, 763 и 764 указываются суммы налога на прибыль, НДС и налога с продаж, указанных в Контракте об уплате налогов в виде фиксированной платы (FORM STI - 057) за отчетный год.</w:t>
      </w:r>
    </w:p>
    <w:p>
      <w:pPr>
        <w:spacing w:after="120"/>
        <w:jc w:val="both"/>
      </w:pPr>
      <w:r>
        <w:rPr>
          <w:rFonts w:ascii="Arial" w:cs="Arial" w:eastAsia="Arial" w:hAnsi="Arial"/>
          <w:sz w:val="24"/>
          <w:szCs w:val="24"/>
        </w:rPr>
        <w:t xml:space="preserve">Примечание: налоговый контракт определяет согласованное между налогоплательщиком и органом налоговой службы налоговое обязательство в размере фиксированных сумм следующих налогов:</w:t>
      </w:r>
    </w:p>
    <w:p>
      <w:pPr>
        <w:spacing w:after="120"/>
        <w:jc w:val="both"/>
      </w:pPr>
      <w:r>
        <w:rPr>
          <w:rFonts w:ascii="Arial" w:cs="Arial" w:eastAsia="Arial" w:hAnsi="Arial"/>
          <w:sz w:val="24"/>
          <w:szCs w:val="24"/>
        </w:rPr>
        <w:t xml:space="preserve">1) налог на прибыль;</w:t>
      </w:r>
    </w:p>
    <w:p>
      <w:pPr>
        <w:spacing w:after="120"/>
        <w:jc w:val="both"/>
      </w:pPr>
      <w:r>
        <w:rPr>
          <w:rFonts w:ascii="Arial" w:cs="Arial" w:eastAsia="Arial" w:hAnsi="Arial"/>
          <w:sz w:val="24"/>
          <w:szCs w:val="24"/>
        </w:rPr>
        <w:t xml:space="preserve">2) НДС на облагаемые поставки;</w:t>
      </w:r>
    </w:p>
    <w:p>
      <w:pPr>
        <w:spacing w:after="120"/>
        <w:jc w:val="both"/>
      </w:pPr>
      <w:r>
        <w:rPr>
          <w:rFonts w:ascii="Arial" w:cs="Arial" w:eastAsia="Arial" w:hAnsi="Arial"/>
          <w:sz w:val="24"/>
          <w:szCs w:val="24"/>
        </w:rPr>
        <w:t xml:space="preserve">3) налог с продаж.</w:t>
      </w:r>
    </w:p>
    <w:p>
      <w:pPr>
        <w:spacing w:after="120"/>
        <w:jc w:val="both"/>
      </w:pPr>
      <w:r>
        <w:rPr>
          <w:rFonts w:ascii="Arial" w:cs="Arial" w:eastAsia="Arial" w:hAnsi="Arial"/>
          <w:sz w:val="24"/>
          <w:szCs w:val="24"/>
        </w:rPr>
        <w:t xml:space="preserve">Налогоплательщик, уплачивающий налоги на основе налогового контракта, обязан уплачивать остальные налоги в соответствии с требованиями Налогового кодекса: земельный налог, налог на имущество и другие налоги, а также заполнять соответствующие приложения.</w:t>
      </w:r>
    </w:p>
    <w:p>
      <w:pPr>
        <w:spacing w:after="120"/>
        <w:jc w:val="both"/>
      </w:pPr>
      <w:r>
        <w:rPr>
          <w:rFonts w:ascii="Arial" w:cs="Arial" w:eastAsia="Arial" w:hAnsi="Arial"/>
          <w:sz w:val="24"/>
          <w:szCs w:val="24"/>
        </w:rPr>
        <w:t xml:space="preserve">В зависимости от условий контракта, по каждому налогу определяется фиксированная сумма, которая указывается в данном Разделе.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9.4. Заполнение раздела IV.</w:t>
      </w:r>
    </w:p>
    <w:p>
      <w:pPr>
        <w:spacing w:after="120"/>
        <w:jc w:val="both"/>
      </w:pPr>
      <w:r>
        <w:rPr>
          <w:rFonts w:ascii="Arial" w:cs="Arial" w:eastAsia="Arial" w:hAnsi="Arial"/>
          <w:sz w:val="24"/>
          <w:szCs w:val="24"/>
        </w:rPr>
        <w:t xml:space="preserve">«Налоговый режим в свободных экономических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 В ячейке 765 указывается фактически полученная выручка от деятельности в данном налоговом режиме.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9.5 Заполнение раздела V. «Парк высоких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180. В ячейке 766 указывается фактически полученная выручка от деятельности в данном налоговом режиме.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Заполнение приложения 8</w:t>
      </w:r>
    </w:p>
    <w:p>
      <w:pPr>
        <w:spacing w:after="120"/>
        <w:jc w:val="both"/>
      </w:pPr>
      <w:r>
        <w:rPr>
          <w:rFonts w:ascii="Arial" w:cs="Arial" w:eastAsia="Arial" w:hAnsi="Arial"/>
          <w:sz w:val="24"/>
          <w:szCs w:val="24"/>
        </w:rPr>
        <w:t xml:space="preserve">«Горнодобывающее и/или горноперерабатывающее предприятие по добыче и реализации золота и золотосодержащей продукции»</w:t>
      </w:r>
    </w:p>
    <w:p>
      <w:pPr>
        <w:spacing w:after="120"/>
        <w:jc w:val="both"/>
      </w:pPr>
      <w:r>
        <w:rPr>
          <w:rFonts w:ascii="Arial" w:cs="Arial" w:eastAsia="Arial" w:hAnsi="Arial"/>
          <w:sz w:val="24"/>
          <w:szCs w:val="24"/>
        </w:rPr>
        <w:t xml:space="preserve">(FORM STI – 101 - 008)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Приложение 8 заполняется горнодобывающими и горноперерабатывающими предприятиями в части, относящейся к деятельности по добыче и реализации золотосодержащей руды, золотосодержащего концентрата, золотого сплава из аффинированного золота, с которой уплачивается налог на доходы в соответствии со статьей 221-1 Налогового кодекса, по данным раздельного учета по этим видам деятельности.</w:t>
      </w:r>
    </w:p>
    <w:p>
      <w:pPr>
        <w:spacing w:after="120"/>
        <w:jc w:val="both"/>
      </w:pPr>
      <w:r>
        <w:rPr>
          <w:rFonts w:ascii="Arial" w:cs="Arial" w:eastAsia="Arial" w:hAnsi="Arial"/>
          <w:sz w:val="24"/>
          <w:szCs w:val="24"/>
        </w:rPr>
        <w:t xml:space="preserve">182. В ячейке 850 указывается сумма выручки без учета налога с продаж, полученная от реализации золотого сплава и аффинированного золота.</w:t>
      </w:r>
    </w:p>
    <w:p>
      <w:pPr>
        <w:spacing w:after="120"/>
        <w:jc w:val="both"/>
      </w:pPr>
      <w:r>
        <w:rPr>
          <w:rFonts w:ascii="Arial" w:cs="Arial" w:eastAsia="Arial" w:hAnsi="Arial"/>
          <w:sz w:val="24"/>
          <w:szCs w:val="24"/>
        </w:rPr>
        <w:t xml:space="preserve">183. В ячейке 851 указывается стоимость золота в реализованной золотосодержащей руде и золотосодержащем концентрате.</w:t>
      </w:r>
    </w:p>
    <w:p>
      <w:pPr>
        <w:spacing w:after="120"/>
        <w:jc w:val="both"/>
      </w:pPr>
      <w:r>
        <w:rPr>
          <w:rFonts w:ascii="Arial" w:cs="Arial" w:eastAsia="Arial" w:hAnsi="Arial"/>
          <w:sz w:val="24"/>
          <w:szCs w:val="24"/>
        </w:rPr>
        <w:t xml:space="preserve">184. В ячейке 852 указывается сумма налога на доходы, рассчитанная по ставке в соответствии с частью 4 статьи 221-1 Налогового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Заполнение приложения 9</w:t>
      </w:r>
    </w:p>
    <w:p>
      <w:pPr>
        <w:spacing w:after="120"/>
        <w:jc w:val="both"/>
      </w:pPr>
      <w:r>
        <w:rPr>
          <w:rFonts w:ascii="Arial" w:cs="Arial" w:eastAsia="Arial" w:hAnsi="Arial"/>
          <w:sz w:val="24"/>
          <w:szCs w:val="24"/>
        </w:rPr>
        <w:t xml:space="preserve">«Расшифровка переноса убытков, связанных с экономической деятельностью, и доходов, полученных за пределами Кыргызской Республики» (FORM STI – 101 - 009)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185. Приложение 9 заполняется налогоплательщиками, осуществляющими учет и исчисление налоговых обязательств по общему режиму, понесшими убытки в течение последних пяти лет, а также получившими доходы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11.1. Заполнение раздела I.</w:t>
      </w:r>
    </w:p>
    <w:p>
      <w:pPr>
        <w:spacing w:after="120"/>
        <w:jc w:val="both"/>
      </w:pPr>
      <w:r>
        <w:rPr>
          <w:rFonts w:ascii="Arial" w:cs="Arial" w:eastAsia="Arial" w:hAnsi="Arial"/>
          <w:sz w:val="24"/>
          <w:szCs w:val="24"/>
        </w:rPr>
        <w:t xml:space="preserve">Расшифровка переноса убытков, связанных</w:t>
      </w:r>
    </w:p>
    <w:p>
      <w:pPr>
        <w:spacing w:after="120"/>
        <w:jc w:val="both"/>
      </w:pPr>
      <w:r>
        <w:rPr>
          <w:rFonts w:ascii="Arial" w:cs="Arial" w:eastAsia="Arial" w:hAnsi="Arial"/>
          <w:sz w:val="24"/>
          <w:szCs w:val="24"/>
        </w:rPr>
        <w:t xml:space="preserve">с экономической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 В ячейке 950 указывается сумма значений ячеек с 951 по 955.</w:t>
      </w:r>
    </w:p>
    <w:p>
      <w:pPr>
        <w:spacing w:after="120"/>
        <w:jc w:val="both"/>
      </w:pPr>
      <w:r>
        <w:rPr>
          <w:rFonts w:ascii="Arial" w:cs="Arial" w:eastAsia="Arial" w:hAnsi="Arial"/>
          <w:sz w:val="24"/>
          <w:szCs w:val="24"/>
        </w:rPr>
        <w:t xml:space="preserve">187. В ячейках 951 - 955 указываются остатки неперенесенных убытков на начало каждого из годов пятилетнего периода, предшествующего отчетному.</w:t>
      </w:r>
    </w:p>
    <w:p>
      <w:pPr>
        <w:spacing w:after="120"/>
        <w:jc w:val="both"/>
      </w:pPr>
      <w:r>
        <w:rPr>
          <w:rFonts w:ascii="Arial" w:cs="Arial" w:eastAsia="Arial" w:hAnsi="Arial"/>
          <w:sz w:val="24"/>
          <w:szCs w:val="24"/>
        </w:rPr>
        <w:t xml:space="preserve">188. В ячейке 956 указывается сумма убытка, подлежащая переносу в отчетном году, которая переносится из ячейки 055 Декларации.</w:t>
      </w:r>
    </w:p>
    <w:p>
      <w:pPr>
        <w:spacing w:after="120"/>
        <w:jc w:val="both"/>
      </w:pPr>
      <w:r>
        <w:rPr>
          <w:rFonts w:ascii="Arial" w:cs="Arial" w:eastAsia="Arial" w:hAnsi="Arial"/>
          <w:sz w:val="24"/>
          <w:szCs w:val="24"/>
        </w:rPr>
        <w:t xml:space="preserve">189. В ячейке 957 указывается остаток неперенесенного убытка на конец отчетного года, рассчитанный как разница значений ячеек: 957 = 950 - 956.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11.2. Заполнение раздела II. Расшифровка доходов, полученных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190. В ячейке 958 указывается сумма доходов налогоплательщика, полученных им за пределами Кыргызской Республики.</w:t>
      </w:r>
    </w:p>
    <w:p>
      <w:pPr>
        <w:spacing w:after="120"/>
        <w:jc w:val="both"/>
      </w:pPr>
      <w:r>
        <w:rPr>
          <w:rFonts w:ascii="Arial" w:cs="Arial" w:eastAsia="Arial" w:hAnsi="Arial"/>
          <w:sz w:val="24"/>
          <w:szCs w:val="24"/>
        </w:rPr>
        <w:t xml:space="preserve">191. В ячейке 959 указывается часть суммы доходов налогоплательщика, полученных им за пределами Кыргызской Республики в странах, с которыми заключено соглашение об устранении двойного налогообложения.</w:t>
      </w:r>
    </w:p>
    <w:p>
      <w:pPr>
        <w:spacing w:after="120"/>
        <w:jc w:val="both"/>
      </w:pPr>
      <w:r>
        <w:rPr>
          <w:rFonts w:ascii="Arial" w:cs="Arial" w:eastAsia="Arial" w:hAnsi="Arial"/>
          <w:sz w:val="24"/>
          <w:szCs w:val="24"/>
        </w:rPr>
        <w:t xml:space="preserve">Примечание: перечень стран, с которыми Кыргызская Республика заключила соглашения об устранении двойного налогообложения, размещен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2uussxvz_kao1ola9ji7">
      <w:r>
        <w:rPr>
          <w:rFonts w:ascii="Arial" w:cs="Arial" w:eastAsia="Arial" w:hAnsi="Arial"/>
          <w:color w:val="132D3F"/>
          <w:sz w:val="16"/>
          <w:szCs w:val="16"/>
          <w:u w:val="single"/>
        </w:rPr>
        <w:t xml:space="preserve">dalil.kg/document/96442</w:t>
      </w:r>
    </w:hyperlink>
  </w:p>
  <w:p>
    <w:pPr>
      <w:spacing w:after="0" w:before="40"/>
      <w:jc w:val="center"/>
    </w:pPr>
    <w:hyperlink w:history="1" r:id="rIddcrvges3e_7hnjmqudqv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4y3_szkq7q7spwd3cfc" Type="http://schemas.openxmlformats.org/officeDocument/2006/relationships/hyperlink" Target="https://dalil.kg/document/98536" TargetMode="External"/><Relationship Id="rIdi43pq0_kdd26a9010-7i5" Type="http://schemas.openxmlformats.org/officeDocument/2006/relationships/hyperlink" Target="https://dalil.kg/document/964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2uussxvz_kao1ola9ji7" Type="http://schemas.openxmlformats.org/officeDocument/2006/relationships/hyperlink" Target="https://dalil.kg/document/96442" TargetMode="External"/><Relationship Id="rIddcrvges3e_7hnjmqudqv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2026-09-23T17:24:19.099Z</dcterms:created>
  <dcterms:modified xsi:type="dcterms:W3CDTF">2026-09-23T17:24:19.099Z</dcterms:modified>
</cp:coreProperties>
</file>

<file path=docProps/custom.xml><?xml version="1.0" encoding="utf-8"?>
<Properties xmlns="http://schemas.openxmlformats.org/officeDocument/2006/custom-properties" xmlns:vt="http://schemas.openxmlformats.org/officeDocument/2006/docPropsVTypes"/>
</file>