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18 января 2017 года № 01-р</w:t>
      </w:r>
    </w:p>
    <w:p>
      <w:pPr>
        <w:spacing w:after="240" w:before="200"/>
        <w:jc w:val="center"/>
      </w:pPr>
      <w:r>
        <w:rPr>
          <w:rFonts w:ascii="Arial" w:cs="Arial" w:eastAsia="Arial" w:hAnsi="Arial"/>
          <w:b/>
          <w:bCs/>
          <w:sz w:val="32"/>
          <w:szCs w:val="32"/>
        </w:rPr>
        <w:t xml:space="preserve">по делу о проверке конституционности нормативного положения части 4 статьи 73 Уголовно-процессуального кодекса Кыргызской Республики, выраженного словами «отвод, заявленный судье, рассматривающему дело единолично, разрешается судьей единолично...» в связи с обращением Айткулова Икрамидина Назировича в интересах гражданина Абекова Алмазбека Толкунбаевича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 - обращающейся стороны – Айткулова Икрамидина Назировича, представляющего интересы Абекова Алмазбека Толкунбаевича по доверенности; - стороны-ответчика - Болджуровой Светы Садыковны, представителя Жогорку Кенеша Кыргызской Республики по доверенности; - иных лиц – Нурмаматова Алтынбека Урубаевича, Чекеевой Асель Токторбековны, представителей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47go0hq8ljnvpvjaup-d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w:t>
      </w:r>
      <w:hyperlink w:history="1" r:id="rId06syh9jenzmrjfdwc81c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4 статьи 73 Уголовно- процессуального </w:t>
      </w:r>
      <w:hyperlink w:history="1" r:id="rIduotbbjfjwjpvxx_yiqty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«отвод, заявленный судье, рассматривающему дело единолично, разрешается судьей единолично...». Поводом к рассмотрению дела явилось ходатайство Айткулова И.Н. в интересах гражданина Абекова А.Т. Основанием к рассмотрению данного дела явилась обнаружившаяся неопределенность в вопросе о том, соответствует ли Конституции Кыргызской Республики нормативное положение части 4 статьи 73 Уголовно-процессуального кодекса Кыргызской Республики, предусматривающее единоличное разрешение судьей отвода, заявленного ему. Заслушав информацию судьи-докладчика Абдиева К.,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июля 2016 года поступило ходатайство Айткулова И.Н. в интересах гражданина Абекова А.Т. о признании нормативного положения части 4 статьи 73 Уголовно-процессуального </w:t>
      </w:r>
      <w:hyperlink w:history="1" r:id="rId6ed31c0jwllma1o8_n6i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«отвод, заявленный судье, рассматривающему дело единолично, разрешается судьей единолично» противоречащим статье 40 </w:t>
      </w:r>
      <w:hyperlink w:history="1" r:id="rIdwe-v984kqu9k5iy08jvj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оспариваемое нормативное положение наносит ущерб как задачам правосудия, так и интересам лица, заявившего отвод судье, поскольку судья первой инстанции, вынужденный в силу части 4 статьи 73 Уголовно-процессуального </w:t>
      </w:r>
      <w:hyperlink w:history="1" r:id="rId3apin0s6eyj6dluxewqm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разрешать вопрос об отводе в отношении самого себя, оказывается перед трудным выбором. С одной стороны, он не может уклониться от отправления правосудия, а с другой - достаточность мотивов отвода, имеющих отношение к нему лично, он должен определять субъективно. При этом судья, в отношении которого заявлен отвод, сам становится субъектом спора и по определению не может разрешить данный спор. По мнению заявителя, оспариваемая норма была принята законодателем для отмены существовавшего ранее в системе арбитражных судов порядка, определявшего, что вопрос отвода судьи первой инстанции разрешается председателем того же суда, который назначался в административном порядке указом главы государства и была нацелена на повышение независимости суда как самостоятельного института. Однако с принятием </w:t>
      </w:r>
      <w:hyperlink w:history="1" r:id="rIdq3fnwv_hblek_ssrbv2h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2010 года изменилась природа утверждения в должности председателя суда, теперь он не назначается в административном порядке, а избирается самими судьями.</w:t>
      </w:r>
    </w:p>
    <w:p>
      <w:pPr>
        <w:spacing w:after="120"/>
        <w:jc w:val="both"/>
      </w:pPr>
      <w:r>
        <w:rPr>
          <w:rFonts w:ascii="Arial" w:cs="Arial" w:eastAsia="Arial" w:hAnsi="Arial"/>
          <w:sz w:val="24"/>
          <w:szCs w:val="24"/>
        </w:rPr>
        <w:t xml:space="preserve">В своем ходатайстве заявитель также ссылается на Всеобщую декларацию прав человека и Международный пакт о гражданских и политических правах, установивших в качестве основополагающего принципа - предоставление каждому лицу права на рассмотрение его дела компетентным и независимым судом на началах справедливости и беспристрастности. Полной и действенной реализации указанного принципа препятствует оспариваемое нормативное положение части 4 статьи 73 Уголовно-процессуального </w:t>
      </w:r>
      <w:hyperlink w:history="1" r:id="rIdoftvydna3qpqbcxjpg84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Основываясь на изложенном, обращающаяся сторона просит признать противоречащей статье 40 </w:t>
      </w:r>
      <w:hyperlink w:history="1" r:id="rIdwkjw7eziyaqydmktbziz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оспариваемое нормативное положение Уголовно-процессуального кодекса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16 сентября 2016 года данное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требование и просит его удовлетворить. При этом обращающаяся сторона уточнила свои требования по своему обращению и просила проверить оспариваемые нормы на соответствие только части 1 статьи 40 </w:t>
      </w:r>
      <w:hyperlink w:history="1" r:id="rId-_hiti1xfuz55csijcez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Представитель стороны-ответчика Болджурова С.С. не согласилась с доводами обращающейся стороны и считает, что оспариваемая норма Уголовно-процессуального кодекса Кыргызской Республики не противоречит </w:t>
      </w:r>
      <w:hyperlink w:history="1" r:id="rIdwgb93n7zuxlnc-gbiseq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обосновании своей позиции она приводит следующие доводы.</w:t>
      </w:r>
    </w:p>
    <w:p>
      <w:pPr>
        <w:spacing w:after="120"/>
        <w:jc w:val="both"/>
      </w:pPr>
      <w:r>
        <w:rPr>
          <w:rFonts w:ascii="Arial" w:cs="Arial" w:eastAsia="Arial" w:hAnsi="Arial"/>
          <w:sz w:val="24"/>
          <w:szCs w:val="24"/>
        </w:rPr>
        <w:t xml:space="preserve">Исходя из конституционных принципов независимости и самостоятельности судебной власти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В этой связи законодатель в пункте 4 статьи 73 Уголовно-процессуального </w:t>
      </w:r>
      <w:hyperlink w:history="1" r:id="rIdvvhepgf375itrom0jmbo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установил такой порядок разрешения вопроса об отводе, заявленному судье, рассматривающему дело единолично, который снижает вероятность затягивания рассмотрения дела вследствие недобросовестного использования участниками процесса права на отвод судьи.</w:t>
      </w:r>
    </w:p>
    <w:p>
      <w:pPr>
        <w:spacing w:after="120"/>
        <w:jc w:val="both"/>
      </w:pPr>
      <w:r>
        <w:rPr>
          <w:rFonts w:ascii="Arial" w:cs="Arial" w:eastAsia="Arial" w:hAnsi="Arial"/>
          <w:sz w:val="24"/>
          <w:szCs w:val="24"/>
        </w:rPr>
        <w:t xml:space="preserve">Гарантией соблюдения принципа беспристрастности судьи, рассматривающего дело единолично, при разрешении вопроса о заявленном ему отводе является вынесение мотивированного постановления, подтверждающего отсутствие обстоятельств, которые позволили бы усомниться в его беспристрастности. Кроме того, гарантией являются процедуры проверки вынесенных судебных постановлений вышестоящими судебными инстанциями, которые при выявлении оснований для их отмены должны исходить из конституционных и общепризнанных международно- правовых принципов. При этом вопрос об объективности и беспристрастности судьи подлежит разрешению в каждом деле с учетом фактических обстоятельств, установление которых находится в компетенции судов общей юрисдикции.</w:t>
      </w:r>
    </w:p>
    <w:p>
      <w:pPr>
        <w:spacing w:after="120"/>
        <w:jc w:val="both"/>
      </w:pPr>
      <w:r>
        <w:rPr>
          <w:rFonts w:ascii="Arial" w:cs="Arial" w:eastAsia="Arial" w:hAnsi="Arial"/>
          <w:sz w:val="24"/>
          <w:szCs w:val="24"/>
        </w:rPr>
        <w:t xml:space="preserve">Тем самым, уголовно-процессуальное законодательство содержит все необходимые нормы, направленные на реализацию гарантированного Конституцией Кыргызской Республики права на судебную защиту.</w:t>
      </w:r>
    </w:p>
    <w:p>
      <w:pPr>
        <w:spacing w:after="120"/>
        <w:jc w:val="both"/>
      </w:pPr>
      <w:r>
        <w:rPr>
          <w:rFonts w:ascii="Arial" w:cs="Arial" w:eastAsia="Arial" w:hAnsi="Arial"/>
          <w:sz w:val="24"/>
          <w:szCs w:val="24"/>
        </w:rPr>
        <w:t xml:space="preserve">Представитель Верховного суда Кыргызской Республики Чекеева А.Т. считает, что оспариваемая норма не противоречит </w:t>
      </w:r>
      <w:hyperlink w:history="1" r:id="rIdchirpjyq_rtc0f65e8h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согласно </w:t>
      </w:r>
      <w:hyperlink w:history="1" r:id="rIdcih2difjbr-o-pyaelqx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Верховном суде Кыргызской Республики и местных судах», судьи судов первой инстанции рассматривают дела единолично. Статья 4 указанного Закона предусматривает, что суды осуществляют судебную власть самостоятельно, независимо от чьей бы то ни было воли, подчиняясь только </w:t>
      </w:r>
      <w:hyperlink w:history="1" r:id="rIdiufspbumpl23vzgmj5zb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процессуальным и иным законам. Всякое вмешательство в деятельность по осуществлению правосудия недопустимо.</w:t>
      </w:r>
    </w:p>
    <w:p>
      <w:pPr>
        <w:spacing w:after="120"/>
        <w:jc w:val="both"/>
      </w:pPr>
      <w:r>
        <w:rPr>
          <w:rFonts w:ascii="Arial" w:cs="Arial" w:eastAsia="Arial" w:hAnsi="Arial"/>
          <w:sz w:val="24"/>
          <w:szCs w:val="24"/>
        </w:rPr>
        <w:t xml:space="preserve">Кроме того, не исключено, что в последующем при рассмотрении председателем ходатайства об отводе, отвод также может быть заявлен и председателю суда, так как он тоже будет рассматривать отвод единолично. Это приведет к затягиванию и волоките рассмотрения дела по существу.</w:t>
      </w:r>
    </w:p>
    <w:p>
      <w:pPr>
        <w:spacing w:after="120"/>
        <w:jc w:val="both"/>
      </w:pPr>
      <w:r>
        <w:rPr>
          <w:rFonts w:ascii="Arial" w:cs="Arial" w:eastAsia="Arial" w:hAnsi="Arial"/>
          <w:sz w:val="24"/>
          <w:szCs w:val="24"/>
        </w:rPr>
        <w:t xml:space="preserve">Доводы заявителя о том, что нарушаются его права на судебную защиту, являются необоснованными, так как постановление об отводе может быть обжаловано в суде второй инстанции</w:t>
      </w:r>
    </w:p>
    <w:p>
      <w:pPr>
        <w:spacing w:after="120"/>
        <w:jc w:val="both"/>
      </w:pPr>
      <w:r>
        <w:rPr>
          <w:rFonts w:ascii="Arial" w:cs="Arial" w:eastAsia="Arial" w:hAnsi="Arial"/>
          <w:sz w:val="24"/>
          <w:szCs w:val="24"/>
        </w:rPr>
        <w:t xml:space="preserve">Оспариваемая норма была внесена в связи с необходимостью принятия мер по совершенствованию процессуального законодательства и направлена на устранение волокиты и препятствий в вынесении судебного решения. Ведь ранее до внесения указанных изменений процессуальное законодательство давало право лицам (участникам процесса) обжаловать вынесенный судебный акт об отводе в вышестоящую инстанцию, а недобросовестные участники судебного процесса, пользуясь правом обжалования, всячески затягивали процесс рассмотрения дел, которые могли длиться годами.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1kjxknhiodd9nm_swxic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4 статьи 73 Уголовно-процессуального </w:t>
      </w:r>
      <w:hyperlink w:history="1" r:id="rId_n0s6gytwgyurmcxrlyu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w:t>
      </w:r>
    </w:p>
    <w:p>
      <w:pPr>
        <w:spacing w:after="120"/>
        <w:jc w:val="both"/>
      </w:pPr>
      <w:r>
        <w:rPr>
          <w:rFonts w:ascii="Arial" w:cs="Arial" w:eastAsia="Arial" w:hAnsi="Arial"/>
          <w:sz w:val="24"/>
          <w:szCs w:val="24"/>
        </w:rPr>
        <w:t xml:space="preserve">«Статья 73. Порядок разрешения отвода, заявленного участникам процесса</w:t>
      </w:r>
    </w:p>
    <w:p>
      <w:pPr>
        <w:spacing w:after="120"/>
        <w:jc w:val="both"/>
      </w:pPr>
      <w:r>
        <w:rPr>
          <w:rFonts w:ascii="Arial" w:cs="Arial" w:eastAsia="Arial" w:hAnsi="Arial"/>
          <w:sz w:val="24"/>
          <w:szCs w:val="24"/>
        </w:rPr>
        <w:t xml:space="preserve">(4) Отвод, заявленный судье, рассматривающему дело единолично, разрешается судьей единолично … .».</w:t>
      </w:r>
    </w:p>
    <w:p>
      <w:pPr>
        <w:spacing w:after="120"/>
        <w:jc w:val="both"/>
      </w:pPr>
      <w:r>
        <w:rPr>
          <w:rFonts w:ascii="Arial" w:cs="Arial" w:eastAsia="Arial" w:hAnsi="Arial"/>
          <w:sz w:val="24"/>
          <w:szCs w:val="24"/>
        </w:rPr>
        <w:t xml:space="preserve">Уголовно-процессуальный </w:t>
      </w:r>
      <w:hyperlink w:history="1" r:id="rIdnq7wbhptnv8j2omd0gal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Ведомостях Жогорку Кенеша Кыргызской Республики 1999 г., № 10, ст. 442,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w:t>
      </w:r>
      <w:hyperlink w:history="1" r:id="rIdcytbapzh8crcvhu4dens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подлежит никакому ограничению установленное </w:t>
      </w:r>
      <w:hyperlink w:history="1" r:id="rIdujppzjntomw7w2blyzwz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 на судебную защиту (пункт 8 части 5 статьи 20). Каждому гарантируется судебная защита его прав и свобод, предусмотренных Конституцией Кыргызской Республики,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hyperlink w:history="1" r:id="rIdl6rfnu8cttsbzbsy-jwcv">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соответствии со статьей 10 Всеобщей декларации прав человека каждый человек имеет право, чтобы его дело было рассмотрено гласно и с соблюдением всех требований справедливости независимым и беспристрастным судом.</w:t>
      </w:r>
    </w:p>
    <w:p>
      <w:pPr>
        <w:spacing w:after="120"/>
        <w:jc w:val="both"/>
      </w:pPr>
      <w:r>
        <w:rPr>
          <w:rFonts w:ascii="Arial" w:cs="Arial" w:eastAsia="Arial" w:hAnsi="Arial"/>
          <w:sz w:val="24"/>
          <w:szCs w:val="24"/>
        </w:rPr>
        <w:t xml:space="preserve">С учетом требований данной нормы, а также положений подпункта «с» пункта 3 статьи 14 Международного пакта о гражданских и политических правах уголовные, гражданские дела и дела об административных правонарушениях должны рассматриваться без неоправданной задержки, в строгом соответствии с правилами судопроизводства.</w:t>
      </w:r>
    </w:p>
    <w:p>
      <w:pPr>
        <w:spacing w:after="120"/>
        <w:jc w:val="both"/>
      </w:pPr>
      <w:r>
        <w:rPr>
          <w:rFonts w:ascii="Arial" w:cs="Arial" w:eastAsia="Arial" w:hAnsi="Arial"/>
          <w:sz w:val="24"/>
          <w:szCs w:val="24"/>
        </w:rPr>
        <w:t xml:space="preserve">По смыслу части 1 статьи 40 </w:t>
      </w:r>
      <w:hyperlink w:history="1" r:id="rIdx7nkzxcoxzc3si5flvm2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во взаимосвязи с вышеназванными нормами международных договоров право на беспристрастный суд, предполагающее отсутствие предубеждения и пристрастности судей, является одним из неотъемлемых свойств права на судебную защиту и необходимым условием справедливого судебного разбирательства.</w:t>
      </w:r>
    </w:p>
    <w:p>
      <w:pPr>
        <w:spacing w:after="120"/>
        <w:jc w:val="both"/>
      </w:pPr>
      <w:r>
        <w:rPr>
          <w:rFonts w:ascii="Arial" w:cs="Arial" w:eastAsia="Arial" w:hAnsi="Arial"/>
          <w:sz w:val="24"/>
          <w:szCs w:val="24"/>
        </w:rPr>
        <w:t xml:space="preserve">Это право в соответствии с Уголовно-процессуальным </w:t>
      </w:r>
      <w:hyperlink w:history="1" r:id="rId3f1p8b6559flzwilsenp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реализуется, в частности, путем рассмотрения уголовных дел судами первой, а по жалобам сторон - и второй инстанций. Кроме того, в качестве дополнительной гарантии обеспечения законности и обоснованности судебных решений Уголовно-процессуальный кодекс Кыргызской Республики предусматривает возможность пересмотра приговоров, определений и постановлений, вступивших в законную силу, в порядке надзора, а также по новым и вновь открывшимся обстоятельствам.</w:t>
      </w:r>
    </w:p>
    <w:p>
      <w:pPr>
        <w:spacing w:after="120"/>
        <w:jc w:val="both"/>
      </w:pPr>
      <w:r>
        <w:rPr>
          <w:rFonts w:ascii="Arial" w:cs="Arial" w:eastAsia="Arial" w:hAnsi="Arial"/>
          <w:sz w:val="24"/>
          <w:szCs w:val="24"/>
        </w:rPr>
        <w:t xml:space="preserve">Из этих правовых установлений вытекает, что процессуальный закон, определяя порядок рассмотрения отвода судьи, призван устранить возможную заинтересованность судьи и восстановить нарушенные права и законные интересы граждан и иных лиц.</w:t>
      </w:r>
    </w:p>
    <w:p>
      <w:pPr>
        <w:spacing w:after="120"/>
        <w:jc w:val="both"/>
      </w:pPr>
      <w:r>
        <w:rPr>
          <w:rFonts w:ascii="Arial" w:cs="Arial" w:eastAsia="Arial" w:hAnsi="Arial"/>
          <w:sz w:val="24"/>
          <w:szCs w:val="24"/>
        </w:rPr>
        <w:t xml:space="preserve">Положения части 4 статьи 73 Уголовно-процессуального </w:t>
      </w:r>
      <w:hyperlink w:history="1" r:id="rIdwvx1ddits2q2wfcnpcw2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предполагают произвольного, без учета оснований, предусмотренных статьями 70 и 71 указанного Кодекса, решения вопроса об отводе судьи и не освобождают судью, разрешающего этот вопрос, от обязанности обосновать свои выводы ссылками на конкретные обстоятельства дела. Справедливость и беспристрастность решения судьи обеспечиваются всей совокупностью уголовно-процессуальных средств и процедур, включающих контроль со стороны вышестоящих судебных инстанций.</w:t>
      </w:r>
    </w:p>
    <w:p>
      <w:pPr>
        <w:spacing w:after="120"/>
        <w:jc w:val="both"/>
      </w:pPr>
      <w:r>
        <w:rPr>
          <w:rFonts w:ascii="Arial" w:cs="Arial" w:eastAsia="Arial" w:hAnsi="Arial"/>
          <w:sz w:val="24"/>
          <w:szCs w:val="24"/>
        </w:rPr>
        <w:t xml:space="preserve">3. 3. Отвод судьи - это отстранение судьи от участия в рассмотрении дела, которое осуществляется в случае, если он лично (прямо или косвенно) заинтересован в исходе дела или имеются иные обстоятельства, вызывающие сомнение в его беспристрастности. В уголовном процессе институт отвода (самоотвода) судьи представляет собой важный механизм обеспечения беспристрастности суда. Так, согласно Уголовно-процессуальному </w:t>
      </w:r>
      <w:hyperlink w:history="1" r:id="rIdkldpokxt-1dvef55yw9cb">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судья не может участвовать в рассмотрении дела, если он является потерпевшим, гражданским истцом, гражданским ответчиком, а также, если он участвовал в данном деле в качестве присяжного заседателя, свидетеля, эксперта, специалиста, переводчика, следователя, прокурора, защитника, секретаря судебного заседания, законного представителя обвиняемого, подсудимого, потерпевшего, гражданского истца или гражданского ответчика; если он является родственником потерпевшего, гражданского истца, гражданского ответчика или их представителей, родственником обвиняемого, подсудимого или их законного представителя, родственником обвинителя, защитника, следователя, секретаря судебного заседания; если имеются иные обстоятельства, вызывающие сомнение в беспристрастности судьи (статья 70).</w:t>
      </w:r>
    </w:p>
    <w:p>
      <w:pPr>
        <w:spacing w:after="120"/>
        <w:jc w:val="both"/>
      </w:pPr>
      <w:r>
        <w:rPr>
          <w:rFonts w:ascii="Arial" w:cs="Arial" w:eastAsia="Arial" w:hAnsi="Arial"/>
          <w:sz w:val="24"/>
          <w:szCs w:val="24"/>
        </w:rPr>
        <w:t xml:space="preserve">Вместе с тем, заявляя отвод судье по основаниям, предусмотренным указанной статьей Уголовно-процессуального </w:t>
      </w:r>
      <w:hyperlink w:history="1" r:id="rIduxga300v2wrmwbklaqszj">
        <w:r>
          <w:rPr>
            <w:rFonts w:ascii="Arial" w:cs="Arial" w:eastAsia="Arial" w:hAnsi="Arial"/>
            <w:color w:val="1D4ED8"/>
            <w:sz w:val="24"/>
            <w:szCs w:val="24"/>
            <w:u w:val="single"/>
          </w:rPr>
          <w:t xml:space="preserve">кодекса </w:t>
        </w:r>
      </w:hyperlink>
      <w:r>
        <w:rPr>
          <w:rFonts w:ascii="Arial" w:cs="Arial" w:eastAsia="Arial" w:hAnsi="Arial"/>
          <w:sz w:val="24"/>
          <w:szCs w:val="24"/>
        </w:rPr>
        <w:t xml:space="preserve">Кыргызской Республики необходимо доказать, что поведение судьи не является беспристрастным, независимым, а подход к рассмотрению дела - законным, в противном случае беспристрастность судьи презюмируется.</w:t>
      </w:r>
    </w:p>
    <w:p>
      <w:pPr>
        <w:spacing w:after="120"/>
        <w:jc w:val="both"/>
      </w:pPr>
      <w:r>
        <w:rPr>
          <w:rFonts w:ascii="Arial" w:cs="Arial" w:eastAsia="Arial" w:hAnsi="Arial"/>
          <w:sz w:val="24"/>
          <w:szCs w:val="24"/>
        </w:rPr>
        <w:t xml:space="preserve">Решение по заявленному отводу принимается судьей единолично и оформляется в форме постановления. В нем указывается, кем и по каким основаниям заявлен отвод, объяснения судьи по поводу отвода, решение об удовлетворении заявленного отвода или об отказе в этом и оглашается в судебном заседании. Законодатель также предусмотрел, что на вынесенное судьей постановление может быть подана частная жалоба согласно положениям статьи 339 Уголовно-процессуального кодекса Кыргызской Республики, которое рассматривается в апелляционном порядке одновременно с итоговым решением по делу. Право обжалования постановления принадлежит подсудимому и его законному представителю, прокурору, защитнику, потерпевшему и его представителю. Признав наличие оснований для отвода судьи, апелляционная инстанция обязана отменить приговор и возвратить уголовное дело для нового судебного разбирательства в новом составе суда.</w:t>
      </w:r>
    </w:p>
    <w:p>
      <w:pPr>
        <w:spacing w:after="120"/>
        <w:jc w:val="both"/>
      </w:pPr>
      <w:r>
        <w:rPr>
          <w:rFonts w:ascii="Arial" w:cs="Arial" w:eastAsia="Arial" w:hAnsi="Arial"/>
          <w:sz w:val="24"/>
          <w:szCs w:val="24"/>
        </w:rPr>
        <w:t xml:space="preserve">4. Главной целью института отвода судьи является обеспечение законности судебных решений и защита от влияния на принятие судом решения различных субъективных факторов. Однако, для работоспособности данного процессуального инструмента необходимы эффективные механизмы его реализации.</w:t>
      </w:r>
    </w:p>
    <w:p>
      <w:pPr>
        <w:spacing w:after="120"/>
        <w:jc w:val="both"/>
      </w:pPr>
      <w:r>
        <w:rPr>
          <w:rFonts w:ascii="Arial" w:cs="Arial" w:eastAsia="Arial" w:hAnsi="Arial"/>
          <w:sz w:val="24"/>
          <w:szCs w:val="24"/>
        </w:rPr>
        <w:t xml:space="preserve">Подобного рода нормы означают, что для этих граждан решение суда об отказе в удовлетворении отвода судьи не является окончательным актом, определяющим их правовое положение, и не исключает возможность последующей судебной проверки фактов, положенных в основу решения.</w:t>
      </w:r>
    </w:p>
    <w:p>
      <w:pPr>
        <w:spacing w:after="120"/>
        <w:jc w:val="both"/>
      </w:pPr>
      <w:r>
        <w:rPr>
          <w:rFonts w:ascii="Arial" w:cs="Arial" w:eastAsia="Arial" w:hAnsi="Arial"/>
          <w:sz w:val="24"/>
          <w:szCs w:val="24"/>
        </w:rPr>
        <w:t xml:space="preserve">В результате такие решения находятся в рамках судебного контроля, при этом доступ граждан к правосудию не ограничивается, что согласуется с пунктом 8 части 5 статьи 20 и частью 1 статьи 40 </w:t>
      </w:r>
      <w:hyperlink w:history="1" r:id="rIdwd3ponqebaql-_b_2slz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Следовательно, постановление, принимаемое судьей единолично по результатам заявленного отвода, не может носить окончательный характер, поскольку только суду, в конечном счете, принадлежит право делать выводы, имели ли место возможные факты, влияющие на беспристрастность судьи.</w:t>
      </w:r>
    </w:p>
    <w:p>
      <w:pPr>
        <w:spacing w:after="120"/>
        <w:jc w:val="both"/>
      </w:pPr>
      <w:r>
        <w:rPr>
          <w:rFonts w:ascii="Arial" w:cs="Arial" w:eastAsia="Arial" w:hAnsi="Arial"/>
          <w:sz w:val="24"/>
          <w:szCs w:val="24"/>
        </w:rPr>
        <w:t xml:space="preserve">Таким образом, реализация права на судебную защиту не может быть нарушена, поскольку действующими нормами Уголовно-процессуального </w:t>
      </w:r>
      <w:hyperlink w:history="1" r:id="rIdij9angxf59-je_qh8llc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исключается возможность судебной проверки отказа в удовлетворении ходатайства об отводе судьи, одновременно с проверкой законности и обоснованности постановленного приговора или иного итогового акта по делу.</w:t>
      </w:r>
    </w:p>
    <w:p>
      <w:pPr>
        <w:spacing w:after="120"/>
        <w:jc w:val="both"/>
      </w:pPr>
      <w:r>
        <w:rPr>
          <w:rFonts w:ascii="Arial" w:cs="Arial" w:eastAsia="Arial" w:hAnsi="Arial"/>
          <w:sz w:val="24"/>
          <w:szCs w:val="24"/>
        </w:rPr>
        <w:t xml:space="preserve">Принимая во внимание вышеуказанное, Конституционная палата Верховного суда Кыргызской Республики считает, что установленный оспариваемыми нормами порядок единоличного разрешения вопроса отвода судьи не нарушает гарантированное Конституцией Кыргызской Республики право каждого на судебную защиту.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qpfmgedizggmvbqtx_p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dhtgi19ycvwmotbtfwg8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нормативное положение части 4 статьи 73 Уголовно-процессуального </w:t>
      </w:r>
      <w:hyperlink w:history="1" r:id="rIdv_6ybqq4pboh2ntlmbsf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«отвод, заявленный судье, рассматривающему дело единолично, разрешается судьей единолично...» не противоречащим части 1 статьи 40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подлежат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7go0hq8ljnvpvjaup-d3" Type="http://schemas.openxmlformats.org/officeDocument/2006/relationships/hyperlink" Target="http://kodeks.duckdns.org/document/202913" TargetMode="External"/><Relationship Id="rId06syh9jenzmrjfdwc81ch" Type="http://schemas.openxmlformats.org/officeDocument/2006/relationships/hyperlink" Target="http://kodeks.duckdns.org/document/203281" TargetMode="External"/><Relationship Id="rIduotbbjfjwjpvxx_yiqtyx" Type="http://schemas.openxmlformats.org/officeDocument/2006/relationships/hyperlink" Target="http://kodeks.duckdns.org/document/9" TargetMode="External"/><Relationship Id="rId6ed31c0jwllma1o8_n6iu" Type="http://schemas.openxmlformats.org/officeDocument/2006/relationships/hyperlink" Target="http://kodeks.duckdns.org/document/9" TargetMode="External"/><Relationship Id="rIdwe-v984kqu9k5iy08jvjd" Type="http://schemas.openxmlformats.org/officeDocument/2006/relationships/hyperlink" Target="http://kodeks.duckdns.org/document/202913" TargetMode="External"/><Relationship Id="rId3apin0s6eyj6dluxewqma" Type="http://schemas.openxmlformats.org/officeDocument/2006/relationships/hyperlink" Target="http://kodeks.duckdns.org/document/9" TargetMode="External"/><Relationship Id="rIdq3fnwv_hblek_ssrbv2hv" Type="http://schemas.openxmlformats.org/officeDocument/2006/relationships/hyperlink" Target="http://kodeks.duckdns.org/document/202913" TargetMode="External"/><Relationship Id="rIdoftvydna3qpqbcxjpg84s" Type="http://schemas.openxmlformats.org/officeDocument/2006/relationships/hyperlink" Target="http://kodeks.duckdns.org/document/9" TargetMode="External"/><Relationship Id="rIdwkjw7eziyaqydmktbzizl" Type="http://schemas.openxmlformats.org/officeDocument/2006/relationships/hyperlink" Target="http://kodeks.duckdns.org/document/202913" TargetMode="External"/><Relationship Id="rId-_hiti1xfuz55csijcezf" Type="http://schemas.openxmlformats.org/officeDocument/2006/relationships/hyperlink" Target="http://kodeks.duckdns.org/document/202913" TargetMode="External"/><Relationship Id="rIdwgb93n7zuxlnc-gbiseq9" Type="http://schemas.openxmlformats.org/officeDocument/2006/relationships/hyperlink" Target="http://kodeks.duckdns.org/document/202913" TargetMode="External"/><Relationship Id="rIdvvhepgf375itrom0jmbo6" Type="http://schemas.openxmlformats.org/officeDocument/2006/relationships/hyperlink" Target="http://kodeks.duckdns.org/document/9" TargetMode="External"/><Relationship Id="rIdchirpjyq_rtc0f65e8ht-" Type="http://schemas.openxmlformats.org/officeDocument/2006/relationships/hyperlink" Target="http://kodeks.duckdns.org/document/202913" TargetMode="External"/><Relationship Id="rIdcih2difjbr-o-pyaelqxb" Type="http://schemas.openxmlformats.org/officeDocument/2006/relationships/hyperlink" Target="http://kodeks.duckdns.org/document/1279" TargetMode="External"/><Relationship Id="rIdiufspbumpl23vzgmj5zbp" Type="http://schemas.openxmlformats.org/officeDocument/2006/relationships/hyperlink" Target="http://kodeks.duckdns.org/document/202913" TargetMode="External"/><Relationship Id="rId1kjxknhiodd9nm_swxicb" Type="http://schemas.openxmlformats.org/officeDocument/2006/relationships/hyperlink" Target="http://kodeks.duckdns.org/document/203281" TargetMode="External"/><Relationship Id="rId_n0s6gytwgyurmcxrlyuf" Type="http://schemas.openxmlformats.org/officeDocument/2006/relationships/hyperlink" Target="http://kodeks.duckdns.org/document/9" TargetMode="External"/><Relationship Id="rIdnq7wbhptnv8j2omd0galt" Type="http://schemas.openxmlformats.org/officeDocument/2006/relationships/hyperlink" Target="http://kodeks.duckdns.org/document/9" TargetMode="External"/><Relationship Id="rIdcytbapzh8crcvhu4densp" Type="http://schemas.openxmlformats.org/officeDocument/2006/relationships/hyperlink" Target="http://kodeks.duckdns.org/document/202913" TargetMode="External"/><Relationship Id="rIdujppzjntomw7w2blyzwzv" Type="http://schemas.openxmlformats.org/officeDocument/2006/relationships/hyperlink" Target="http://kodeks.duckdns.org/document/202913" TargetMode="External"/><Relationship Id="rIdl6rfnu8cttsbzbsy-jwcv" Type="http://schemas.openxmlformats.org/officeDocument/2006/relationships/hyperlink" Target="http://kodeks.duckdns.org/document/202913" TargetMode="External"/><Relationship Id="rIdx7nkzxcoxzc3si5flvm2t" Type="http://schemas.openxmlformats.org/officeDocument/2006/relationships/hyperlink" Target="http://kodeks.duckdns.org/document/202913" TargetMode="External"/><Relationship Id="rId3f1p8b6559flzwilsenpk" Type="http://schemas.openxmlformats.org/officeDocument/2006/relationships/hyperlink" Target="http://kodeks.duckdns.org/document/9" TargetMode="External"/><Relationship Id="rIdwvx1ddits2q2wfcnpcw2u" Type="http://schemas.openxmlformats.org/officeDocument/2006/relationships/hyperlink" Target="http://kodeks.duckdns.org/document/9" TargetMode="External"/><Relationship Id="rIdkldpokxt-1dvef55yw9cb" Type="http://schemas.openxmlformats.org/officeDocument/2006/relationships/hyperlink" Target="http://kodeks.duckdns.org/document/9" TargetMode="External"/><Relationship Id="rIduxga300v2wrmwbklaqszj" Type="http://schemas.openxmlformats.org/officeDocument/2006/relationships/hyperlink" Target="http://kodeks.duckdns.org/document/9" TargetMode="External"/><Relationship Id="rIdwd3ponqebaql-_b_2slzh" Type="http://schemas.openxmlformats.org/officeDocument/2006/relationships/hyperlink" Target="http://kodeks.duckdns.org/document/202913" TargetMode="External"/><Relationship Id="rIdij9angxf59-je_qh8llc6" Type="http://schemas.openxmlformats.org/officeDocument/2006/relationships/hyperlink" Target="http://kodeks.duckdns.org/document/9" TargetMode="External"/><Relationship Id="rIdqpfmgedizggmvbqtx_pxe" Type="http://schemas.openxmlformats.org/officeDocument/2006/relationships/hyperlink" Target="http://kodeks.duckdns.org/document/202913" TargetMode="External"/><Relationship Id="rIddhtgi19ycvwmotbtfwg8g" Type="http://schemas.openxmlformats.org/officeDocument/2006/relationships/hyperlink" Target="http://kodeks.duckdns.org/document/203281" TargetMode="External"/><Relationship Id="rIdv_6ybqq4pboh2ntlmbsfz" Type="http://schemas.openxmlformats.org/officeDocument/2006/relationships/hyperlink" Target="http://kodeks.duckdns.org/document/9" TargetMode="External"/><Relationship Id="rId7" Type="http://schemas.openxmlformats.org/officeDocument/2006/relationships/image" Target="media/93bec1c1538034512fe33c1434ae0ea86b639d33.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2026-09-23T02:54:15.219Z</dcterms:created>
  <dcterms:modified xsi:type="dcterms:W3CDTF">2026-09-23T02:54:15.219Z</dcterms:modified>
</cp:coreProperties>
</file>

<file path=docProps/custom.xml><?xml version="1.0" encoding="utf-8"?>
<Properties xmlns="http://schemas.openxmlformats.org/officeDocument/2006/custom-properties" xmlns:vt="http://schemas.openxmlformats.org/officeDocument/2006/docPropsVTypes"/>
</file>