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УТРАТИЛО СИЛУ
 в соответствии с </w:t>
      </w:r>
      <w:hyperlink w:history="1" r:id="rId-k19ewrddm6lhnh7z93e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13 сентября 2024 года № 558</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
 </w:t>
      </w:r>
      <w:hyperlink w:history="1" r:id="rIde-6kzywwpgfrq8riaqar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декабря 2001 года № 800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w:t>
      </w:r>
    </w:p>
    <w:p>
      <w:pPr>
        <w:spacing w:after="120"/>
        <w:jc w:val="both"/>
      </w:pPr>
      <w:r>
        <w:rPr>
          <w:rFonts w:ascii="Arial" w:cs="Arial" w:eastAsia="Arial" w:hAnsi="Arial"/>
          <w:sz w:val="24"/>
          <w:szCs w:val="24"/>
        </w:rPr>
        <w:t xml:space="preserve">о Межведомственном координационном комитете</w:t>
      </w:r>
    </w:p>
    <w:p>
      <w:pPr>
        <w:spacing w:after="120"/>
        <w:jc w:val="both"/>
      </w:pPr>
      <w:r>
        <w:rPr>
          <w:rFonts w:ascii="Arial" w:cs="Arial" w:eastAsia="Arial" w:hAnsi="Arial"/>
          <w:sz w:val="24"/>
          <w:szCs w:val="24"/>
        </w:rPr>
        <w:t xml:space="preserve">по вопросам иммунопрофилактики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Межведомственный координационный комитет по вопросам иммунопрофилактики (далее - МКК) создается при Министерстве здравоохранения Кыргызской Республики. Руководство МКК возлагается на Главного координатора Национальной программы "Иммунопрофилактика", Главного государственного санитарного врача - заместителя Министра здравоохранения Кыргызской Республики, который является председателем Комитета.</w:t>
      </w:r>
    </w:p>
    <w:p>
      <w:pPr>
        <w:spacing w:after="120"/>
        <w:jc w:val="both"/>
      </w:pPr>
      <w:r>
        <w:rPr>
          <w:rFonts w:ascii="Arial" w:cs="Arial" w:eastAsia="Arial" w:hAnsi="Arial"/>
          <w:sz w:val="24"/>
          <w:szCs w:val="24"/>
        </w:rPr>
        <w:t xml:space="preserve">В состав МКК входят руководители структурных подразделений Министерства здравоохранения Кыргызской Республики, руководители других заинтересованных министерств, госкомитетов, административных ведомств, представители международных организаций, высококвалифицированные профильные специалисты. Персональный состав МКК утверждается Министерством здравоохранения Кыргызской Республики.</w:t>
      </w:r>
    </w:p>
    <w:p>
      <w:pPr>
        <w:spacing w:after="120"/>
        <w:jc w:val="both"/>
      </w:pPr>
      <w:r>
        <w:rPr>
          <w:rFonts w:ascii="Arial" w:cs="Arial" w:eastAsia="Arial" w:hAnsi="Arial"/>
          <w:sz w:val="24"/>
          <w:szCs w:val="24"/>
        </w:rPr>
        <w:t xml:space="preserve">Порядок функционирования МКК определяется планом работы, утвержденным его председателем. Заседания МКК проводятся регулярно, не реже 1 раза в квартал. При необходимости МКК может созываться внепланово.</w:t>
      </w:r>
    </w:p>
    <w:p>
      <w:pPr>
        <w:spacing w:after="120"/>
        <w:jc w:val="both"/>
      </w:pPr>
      <w:r>
        <w:rPr>
          <w:rFonts w:ascii="Arial" w:cs="Arial" w:eastAsia="Arial" w:hAnsi="Arial"/>
          <w:sz w:val="24"/>
          <w:szCs w:val="24"/>
        </w:rPr>
        <w:t xml:space="preserve">Заседание считается правомочным при условии присутствия половины членов МКК или замещающих их лиц.</w:t>
      </w:r>
    </w:p>
    <w:p>
      <w:pPr>
        <w:spacing w:after="120"/>
        <w:jc w:val="both"/>
      </w:pPr>
      <w:r>
        <w:rPr>
          <w:rFonts w:ascii="Arial" w:cs="Arial" w:eastAsia="Arial" w:hAnsi="Arial"/>
          <w:sz w:val="24"/>
          <w:szCs w:val="24"/>
        </w:rPr>
        <w:t xml:space="preserve">Решения МКК принимаются открытым голосованием большинством голосов, и оформляется протоколом. Решения МКК правомочны, если за них проголосовало более половины присутствующих членов МКК. Каждый член МКК имеет один голос. При равном количестве голосов голос председателя считается решающим.</w:t>
      </w:r>
    </w:p>
    <w:p>
      <w:pPr>
        <w:spacing w:after="120"/>
        <w:jc w:val="both"/>
      </w:pPr>
      <w:r>
        <w:rPr>
          <w:rFonts w:ascii="Arial" w:cs="Arial" w:eastAsia="Arial" w:hAnsi="Arial"/>
          <w:sz w:val="24"/>
          <w:szCs w:val="24"/>
        </w:rPr>
        <w:t xml:space="preserve">Принимаемые МКК решения, рекомендации и нормативные документы по вопросам иммунопрофилактики являются обязательными для исполнения всеми органами и учреждениями здравоохранения Кыргызской Республики.</w:t>
      </w:r>
    </w:p>
    <w:p>
      <w:pPr>
        <w:spacing w:after="120"/>
        <w:jc w:val="both"/>
      </w:pPr>
      <w:r>
        <w:rPr>
          <w:rFonts w:ascii="Arial" w:cs="Arial" w:eastAsia="Arial" w:hAnsi="Arial"/>
          <w:sz w:val="24"/>
          <w:szCs w:val="24"/>
        </w:rPr>
        <w:t xml:space="preserve">Основными целями МКК являются:</w:t>
      </w:r>
    </w:p>
    <w:p>
      <w:pPr>
        <w:spacing w:after="120"/>
        <w:jc w:val="both"/>
      </w:pPr>
      <w:r>
        <w:rPr>
          <w:rFonts w:ascii="Arial" w:cs="Arial" w:eastAsia="Arial" w:hAnsi="Arial"/>
          <w:sz w:val="24"/>
          <w:szCs w:val="24"/>
        </w:rPr>
        <w:t xml:space="preserve">- политическая, техническая и финансовая поддержка национальной программы иммунизации;</w:t>
      </w:r>
    </w:p>
    <w:p>
      <w:pPr>
        <w:spacing w:after="120"/>
        <w:jc w:val="both"/>
      </w:pPr>
      <w:r>
        <w:rPr>
          <w:rFonts w:ascii="Arial" w:cs="Arial" w:eastAsia="Arial" w:hAnsi="Arial"/>
          <w:sz w:val="24"/>
          <w:szCs w:val="24"/>
        </w:rPr>
        <w:t xml:space="preserve">- координация деятельности партнеров, направленной на создание устойчивой программы иммунизации;</w:t>
      </w:r>
    </w:p>
    <w:p>
      <w:pPr>
        <w:spacing w:after="120"/>
        <w:jc w:val="both"/>
      </w:pPr>
      <w:r>
        <w:rPr>
          <w:rFonts w:ascii="Arial" w:cs="Arial" w:eastAsia="Arial" w:hAnsi="Arial"/>
          <w:sz w:val="24"/>
          <w:szCs w:val="24"/>
        </w:rPr>
        <w:t xml:space="preserve">- пропаганда и повышение национальных обязательств по усилению службы иммунизации.</w:t>
      </w:r>
    </w:p>
    <w:p>
      <w:pPr>
        <w:spacing w:after="120"/>
        <w:jc w:val="both"/>
      </w:pPr>
      <w:r>
        <w:rPr>
          <w:rFonts w:ascii="Arial" w:cs="Arial" w:eastAsia="Arial" w:hAnsi="Arial"/>
          <w:sz w:val="24"/>
          <w:szCs w:val="24"/>
        </w:rPr>
        <w:t xml:space="preserve">Принципы деятельности МКК включают в себя:</w:t>
      </w:r>
    </w:p>
    <w:p>
      <w:pPr>
        <w:spacing w:after="120"/>
        <w:jc w:val="both"/>
      </w:pPr>
      <w:r>
        <w:rPr>
          <w:rFonts w:ascii="Arial" w:cs="Arial" w:eastAsia="Arial" w:hAnsi="Arial"/>
          <w:sz w:val="24"/>
          <w:szCs w:val="24"/>
        </w:rPr>
        <w:t xml:space="preserve">- объединение государственных структур и международных партнеров для установления приоритета иммунизационных мероприятий;</w:t>
      </w:r>
    </w:p>
    <w:p>
      <w:pPr>
        <w:spacing w:after="120"/>
        <w:jc w:val="both"/>
      </w:pPr>
      <w:r>
        <w:rPr>
          <w:rFonts w:ascii="Arial" w:cs="Arial" w:eastAsia="Arial" w:hAnsi="Arial"/>
          <w:sz w:val="24"/>
          <w:szCs w:val="24"/>
        </w:rPr>
        <w:t xml:space="preserve">- обмен информацией, мобилизации ресурсов и координации партнерской поддержки.</w:t>
      </w:r>
    </w:p>
    <w:p>
      <w:pPr>
        <w:spacing w:after="120"/>
        <w:jc w:val="both"/>
      </w:pPr>
      <w:r>
        <w:rPr>
          <w:rFonts w:ascii="Arial" w:cs="Arial" w:eastAsia="Arial" w:hAnsi="Arial"/>
          <w:sz w:val="24"/>
          <w:szCs w:val="24"/>
        </w:rPr>
        <w:t xml:space="preserve">Решения МКК должны быть функциональными, гибкими, приспособленными к условиям и приоритетам Кыргызской Республики, повышающим национальные возможности.</w:t>
      </w:r>
    </w:p>
    <w:p>
      <w:pPr>
        <w:spacing w:after="120"/>
        <w:jc w:val="both"/>
      </w:pPr>
      <w:r>
        <w:rPr>
          <w:rFonts w:ascii="Arial" w:cs="Arial" w:eastAsia="Arial" w:hAnsi="Arial"/>
          <w:sz w:val="24"/>
          <w:szCs w:val="24"/>
        </w:rPr>
        <w:t xml:space="preserve">МКК является рекомендательным органом при решении вопросов, касающихся служб иммунизации и использует национальную программу иммунизации как инструмент для координации и мониторинга инфекционных заболеваний.</w:t>
      </w:r>
    </w:p>
    <w:p>
      <w:pPr>
        <w:spacing w:after="120"/>
        <w:jc w:val="both"/>
      </w:pPr>
      <w:r>
        <w:rPr>
          <w:rFonts w:ascii="Arial" w:cs="Arial" w:eastAsia="Arial" w:hAnsi="Arial"/>
          <w:sz w:val="24"/>
          <w:szCs w:val="24"/>
        </w:rPr>
        <w:t xml:space="preserve">Функции МКК включают в себя:</w:t>
      </w:r>
    </w:p>
    <w:p>
      <w:pPr>
        <w:spacing w:after="120"/>
        <w:jc w:val="both"/>
      </w:pPr>
      <w:r>
        <w:rPr>
          <w:rFonts w:ascii="Arial" w:cs="Arial" w:eastAsia="Arial" w:hAnsi="Arial"/>
          <w:sz w:val="24"/>
          <w:szCs w:val="24"/>
        </w:rPr>
        <w:t xml:space="preserve">- поддержку Национальной программы "Иммунопрофилактика", создание условий для развития устойчивой программы иммунизации в Кыргызской Республике;</w:t>
      </w:r>
    </w:p>
    <w:p>
      <w:pPr>
        <w:spacing w:after="120"/>
        <w:jc w:val="both"/>
      </w:pPr>
      <w:r>
        <w:rPr>
          <w:rFonts w:ascii="Arial" w:cs="Arial" w:eastAsia="Arial" w:hAnsi="Arial"/>
          <w:sz w:val="24"/>
          <w:szCs w:val="24"/>
        </w:rPr>
        <w:t xml:space="preserve">- координацию поддержки существующих партнеров для обеспечения наиболее эффективного использования ресурсов, поиск и привлечение новых партнеров для обеспечения потребностей Кыргызской Республики;</w:t>
      </w:r>
    </w:p>
    <w:p>
      <w:pPr>
        <w:spacing w:after="120"/>
        <w:jc w:val="both"/>
      </w:pPr>
      <w:r>
        <w:rPr>
          <w:rFonts w:ascii="Arial" w:cs="Arial" w:eastAsia="Arial" w:hAnsi="Arial"/>
          <w:sz w:val="24"/>
          <w:szCs w:val="24"/>
        </w:rPr>
        <w:t xml:space="preserve">- разработку основных направлений сотрудничества международных представительств;</w:t>
      </w:r>
    </w:p>
    <w:p>
      <w:pPr>
        <w:spacing w:after="120"/>
        <w:jc w:val="both"/>
      </w:pPr>
      <w:r>
        <w:rPr>
          <w:rFonts w:ascii="Arial" w:cs="Arial" w:eastAsia="Arial" w:hAnsi="Arial"/>
          <w:sz w:val="24"/>
          <w:szCs w:val="24"/>
        </w:rPr>
        <w:t xml:space="preserve">- участие в качестве рекомендательного органа в разработке национальной политики, постановке целей, определении потребностей программы иммунизации;</w:t>
      </w:r>
    </w:p>
    <w:p>
      <w:pPr>
        <w:spacing w:after="120"/>
        <w:jc w:val="both"/>
      </w:pPr>
      <w:r>
        <w:rPr>
          <w:rFonts w:ascii="Arial" w:cs="Arial" w:eastAsia="Arial" w:hAnsi="Arial"/>
          <w:sz w:val="24"/>
          <w:szCs w:val="24"/>
        </w:rPr>
        <w:t xml:space="preserve">- помощь в разработке и осуществлении государственной политики иммунизации, многолетних планов работы;</w:t>
      </w:r>
    </w:p>
    <w:p>
      <w:pPr>
        <w:spacing w:after="120"/>
        <w:jc w:val="both"/>
      </w:pPr>
      <w:r>
        <w:rPr>
          <w:rFonts w:ascii="Arial" w:cs="Arial" w:eastAsia="Arial" w:hAnsi="Arial"/>
          <w:sz w:val="24"/>
          <w:szCs w:val="24"/>
        </w:rPr>
        <w:t xml:space="preserve">- участие в мониторинге основных показателей деятельности, проведении углубленных оценок национальной программы иммунизации. Мониторинг основных показателей устойчивости программы и их оценка;</w:t>
      </w:r>
    </w:p>
    <w:p>
      <w:pPr>
        <w:spacing w:after="120"/>
        <w:jc w:val="both"/>
      </w:pPr>
      <w:r>
        <w:rPr>
          <w:rFonts w:ascii="Arial" w:cs="Arial" w:eastAsia="Arial" w:hAnsi="Arial"/>
          <w:sz w:val="24"/>
          <w:szCs w:val="24"/>
        </w:rPr>
        <w:t xml:space="preserve">- содействует развитию механизмов контроля качества и их соответствия принятым международным стандартам;</w:t>
      </w:r>
    </w:p>
    <w:p>
      <w:pPr>
        <w:spacing w:after="120"/>
        <w:jc w:val="both"/>
      </w:pPr>
      <w:r>
        <w:rPr>
          <w:rFonts w:ascii="Arial" w:cs="Arial" w:eastAsia="Arial" w:hAnsi="Arial"/>
          <w:sz w:val="24"/>
          <w:szCs w:val="24"/>
        </w:rPr>
        <w:t xml:space="preserve">- поддержку новых стратегий и разработок, слежение за выполнением и достижениями;</w:t>
      </w:r>
    </w:p>
    <w:p>
      <w:pPr>
        <w:spacing w:after="120"/>
        <w:jc w:val="both"/>
      </w:pPr>
      <w:r>
        <w:rPr>
          <w:rFonts w:ascii="Arial" w:cs="Arial" w:eastAsia="Arial" w:hAnsi="Arial"/>
          <w:sz w:val="24"/>
          <w:szCs w:val="24"/>
        </w:rPr>
        <w:t xml:space="preserve">- оказание содействия в разработке и реализации стратегических вариантов по поддержанию и усовершенствованию службы иммунопрофилактики в системе реформирования здравоохранения;</w:t>
      </w:r>
    </w:p>
    <w:p>
      <w:pPr>
        <w:spacing w:after="120"/>
        <w:jc w:val="both"/>
      </w:pPr>
      <w:r>
        <w:rPr>
          <w:rFonts w:ascii="Arial" w:cs="Arial" w:eastAsia="Arial" w:hAnsi="Arial"/>
          <w:sz w:val="24"/>
          <w:szCs w:val="24"/>
        </w:rPr>
        <w:t xml:space="preserve">- обеспечение финансовой поддержки в ходе реализации целевых программ, касающихся вопросов вакцинопрофилактики детей и других групп населения;</w:t>
      </w:r>
    </w:p>
    <w:p>
      <w:pPr>
        <w:spacing w:after="120"/>
        <w:jc w:val="both"/>
      </w:pPr>
      <w:r>
        <w:rPr>
          <w:rFonts w:ascii="Arial" w:cs="Arial" w:eastAsia="Arial" w:hAnsi="Arial"/>
          <w:sz w:val="24"/>
          <w:szCs w:val="24"/>
        </w:rPr>
        <w:t xml:space="preserve">- обзор потребностей и мобилизация дополнительных ресурсов;</w:t>
      </w:r>
    </w:p>
    <w:p>
      <w:pPr>
        <w:spacing w:after="120"/>
        <w:jc w:val="both"/>
      </w:pPr>
      <w:r>
        <w:rPr>
          <w:rFonts w:ascii="Arial" w:cs="Arial" w:eastAsia="Arial" w:hAnsi="Arial"/>
          <w:sz w:val="24"/>
          <w:szCs w:val="24"/>
        </w:rPr>
        <w:t xml:space="preserve">- стимулирование обязательств со стороны различных агентств на финансовую поддержку национальной программы иммунизации;</w:t>
      </w:r>
    </w:p>
    <w:p>
      <w:pPr>
        <w:spacing w:after="120"/>
        <w:jc w:val="both"/>
      </w:pPr>
      <w:r>
        <w:rPr>
          <w:rFonts w:ascii="Arial" w:cs="Arial" w:eastAsia="Arial" w:hAnsi="Arial"/>
          <w:sz w:val="24"/>
          <w:szCs w:val="24"/>
        </w:rPr>
        <w:t xml:space="preserve">- изыскание необходимых ресурсов и помощи для усиления служб иммунизации для устойчивых самодостаточных программ иммунизации, а также контроля или элиминации отдельных заболеваний;</w:t>
      </w:r>
    </w:p>
    <w:p>
      <w:pPr>
        <w:spacing w:after="120"/>
        <w:jc w:val="both"/>
      </w:pPr>
      <w:r>
        <w:rPr>
          <w:rFonts w:ascii="Arial" w:cs="Arial" w:eastAsia="Arial" w:hAnsi="Arial"/>
          <w:sz w:val="24"/>
          <w:szCs w:val="24"/>
        </w:rPr>
        <w:t xml:space="preserve">- содействие службе в обеспечении соответствующими руководствами, международными стандартами, техническая поддержка в подготовке руководств;</w:t>
      </w:r>
    </w:p>
    <w:p>
      <w:pPr>
        <w:spacing w:after="120"/>
        <w:jc w:val="both"/>
      </w:pPr>
      <w:r>
        <w:rPr>
          <w:rFonts w:ascii="Arial" w:cs="Arial" w:eastAsia="Arial" w:hAnsi="Arial"/>
          <w:sz w:val="24"/>
          <w:szCs w:val="24"/>
        </w:rPr>
        <w:t xml:space="preserve">- содействие в повышении информированности населения средствами социальной мобилизации;</w:t>
      </w:r>
    </w:p>
    <w:p>
      <w:pPr>
        <w:spacing w:after="120"/>
        <w:jc w:val="both"/>
      </w:pPr>
      <w:r>
        <w:rPr>
          <w:rFonts w:ascii="Arial" w:cs="Arial" w:eastAsia="Arial" w:hAnsi="Arial"/>
          <w:sz w:val="24"/>
          <w:szCs w:val="24"/>
        </w:rPr>
        <w:t xml:space="preserve">- рассмотрение и утверждение ежегодных среднесрочных и заключительного обзоров, представляемые в Глобальный Альянс по Вакцинам и Иммунизации.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r_ktc4uzpjxkx931isb8">
      <w:r>
        <w:rPr>
          <w:rFonts w:ascii="Arial" w:cs="Arial" w:eastAsia="Arial" w:hAnsi="Arial"/>
          <w:color w:val="132D3F"/>
          <w:sz w:val="16"/>
          <w:szCs w:val="16"/>
          <w:u w:val="single"/>
        </w:rPr>
        <w:t xml:space="preserve">dalil.kg/document/96471</w:t>
      </w:r>
    </w:hyperlink>
  </w:p>
  <w:p>
    <w:pPr>
      <w:spacing w:after="0" w:before="40"/>
      <w:jc w:val="center"/>
    </w:pPr>
    <w:hyperlink w:history="1" r:id="rIdla0vegh4_b2k0caz4npv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19ewrddm6lhnh7z93eb" Type="http://schemas.openxmlformats.org/officeDocument/2006/relationships/hyperlink" Target="https://dalil.kg/document/230014914" TargetMode="External"/><Relationship Id="rIde-6kzywwpgfrq8riaqarr" Type="http://schemas.openxmlformats.org/officeDocument/2006/relationships/hyperlink" Target="https://dalil.kg/document/9647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r_ktc4uzpjxkx931isb8" Type="http://schemas.openxmlformats.org/officeDocument/2006/relationships/hyperlink" Target="https://dalil.kg/document/96471" TargetMode="External"/><Relationship Id="rIdla0vegh4_b2k0caz4npv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2026-09-27T17:15:20.794Z</dcterms:created>
  <dcterms:modified xsi:type="dcterms:W3CDTF">2026-09-27T17:15:20.794Z</dcterms:modified>
</cp:coreProperties>
</file>

<file path=docProps/custom.xml><?xml version="1.0" encoding="utf-8"?>
<Properties xmlns="http://schemas.openxmlformats.org/officeDocument/2006/custom-properties" xmlns:vt="http://schemas.openxmlformats.org/officeDocument/2006/docPropsVTypes"/>
</file>