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 ноября 2016 года № 06-р</w:t>
      </w:r>
    </w:p>
    <w:p>
      <w:pPr>
        <w:spacing w:after="120"/>
        <w:jc w:val="both"/>
      </w:pPr>
      <w:r>
        <w:rPr>
          <w:rFonts w:ascii="Arial" w:cs="Arial" w:eastAsia="Arial" w:hAnsi="Arial"/>
          <w:sz w:val="24"/>
          <w:szCs w:val="24"/>
        </w:rPr>
        <w:t xml:space="preserve">по делу о проверке конституционности части 5 статьи 15, частей 3, 5, 7 статьи 21, пунктов 1-5 части 1 статьи 22 Закона Кыргызской Республики «О противодействии организованной преступности» в связи с обращением Манукяна Сережи Мкртичевича в интересах гражданина Асанбека Камчы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 Т., судей Айдарбековой Ч. А., Бобукеевой М. Р., Касымалиева М. Ш., Киргизбаева К. М., Нарынбековой А. О., Осконбаева Э. Ж., Осмоновой Ч. О., Саалаева Ж. И., при секретаре Азаровой М. Ж., с участием:</w:t>
      </w:r>
    </w:p>
    <w:p>
      <w:pPr>
        <w:spacing w:after="120"/>
        <w:jc w:val="both"/>
      </w:pPr>
      <w:r>
        <w:rPr>
          <w:rFonts w:ascii="Arial" w:cs="Arial" w:eastAsia="Arial" w:hAnsi="Arial"/>
          <w:sz w:val="24"/>
          <w:szCs w:val="24"/>
        </w:rPr>
        <w:t xml:space="preserve">- обращающейся стороны – Манукяна С. М., представителя гражданина Асанбека Камчы по доверенности;</w:t>
      </w:r>
    </w:p>
    <w:p>
      <w:pPr>
        <w:spacing w:after="120"/>
        <w:jc w:val="both"/>
      </w:pPr>
      <w:r>
        <w:rPr>
          <w:rFonts w:ascii="Arial" w:cs="Arial" w:eastAsia="Arial" w:hAnsi="Arial"/>
          <w:sz w:val="24"/>
          <w:szCs w:val="24"/>
        </w:rPr>
        <w:t xml:space="preserve">- стороны-ответчика – Бердимуратова Чынгызбека Муртазакуловича,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Бокошевой Жылдыз Сейитбековны, представителя Верховного суда Кыргызской Республики по доверенности, Ногойбаева Азамата Болотбековича и Мамажанова Кабылжана Сабыржановича, представителей Министерства внутренних дел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fy4ow8vgwuw8ysembmfe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w:t>
      </w:r>
      <w:hyperlink w:history="1" r:id="rIdplwad9_-okfe6bjoitnm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5 статьи 15, частей 3, 5, 7 статьи 21, пунктов 1-5 части 1 статьи 22 </w:t>
      </w:r>
      <w:hyperlink w:history="1" r:id="rIdsip6h19hpgred8vig55y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Поводом к рассмотрению данного дела явилось ходатайство Манукяна С. М. в интересах гражданина Асанбека Камчы.</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t58iiq15i58tg2igrhzf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5 статьи 15, части 3, 5, 7 статьи 21, пункты 1-5 части 1 статьи 22 </w:t>
      </w:r>
      <w:hyperlink w:history="1" r:id="rIdidlj4adwr4ge4atvpy-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Заслушав выступление судьи-докладчика Бобукеевой М. 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поступило ходатайство Манукяна С. М. в интересах гражданина Асанбека Камчы о признании части 5 статьи 15, частей 3, 5, 7 статьи 21, части 1 статьи 22 </w:t>
      </w:r>
      <w:hyperlink w:history="1" r:id="rIdzuogk_1zazpfg3l0jwcb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противоречащими частям 1, 3 статьи 20, части 3 статьи 24, части 2 статьи 33, части 3 статьи 40, частям 3, 5 статьи 99 </w:t>
      </w:r>
      <w:hyperlink w:history="1" r:id="rId8wudlqfjy9jjmhjfzlq1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поводом к обращению в Конституционную палату Верховного суда Кыргызской Республики явилось ходатайство заместителя начальника управления Министерства внутренних дел Кыргызской Республики в Первомайский районный суд города Бишкек о постановке Асанбека Камчы на оперативно-превентивный учет.</w:t>
      </w:r>
    </w:p>
    <w:p>
      <w:pPr>
        <w:spacing w:after="120"/>
        <w:jc w:val="both"/>
      </w:pPr>
      <w:r>
        <w:rPr>
          <w:rFonts w:ascii="Arial" w:cs="Arial" w:eastAsia="Arial" w:hAnsi="Arial"/>
          <w:sz w:val="24"/>
          <w:szCs w:val="24"/>
        </w:rPr>
        <w:t xml:space="preserve">По мнению заявителя, в части 3 статьи 21 оспариваемого </w:t>
      </w:r>
      <w:hyperlink w:history="1" r:id="rIdr7-poutn0vftditity-p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предусмотрена возможность привлечения лицом адвоката в суде, при рассмотрении в отношении него вопроса о постановке на оперативно- превентивный учет, что противоречит части 3 статьи 40 </w:t>
      </w:r>
      <w:hyperlink w:history="1" r:id="rIdneibad_1tlthllgg1tyt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которой установлено, что каждый имеет право на получение квалифицированной юридической помощи.</w:t>
      </w:r>
    </w:p>
    <w:p>
      <w:pPr>
        <w:spacing w:after="120"/>
        <w:jc w:val="both"/>
      </w:pPr>
      <w:r>
        <w:rPr>
          <w:rFonts w:ascii="Arial" w:cs="Arial" w:eastAsia="Arial" w:hAnsi="Arial"/>
          <w:sz w:val="24"/>
          <w:szCs w:val="24"/>
        </w:rPr>
        <w:t xml:space="preserve">Заявитель указывает, что согласно части 5 статьи 21 оспариваемого </w:t>
      </w:r>
      <w:hyperlink w:history="1" r:id="rId0c5itkkzfopqntyohgw1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лицо не может мотивированно, обоснованно с приведением своих контраргументов и доказательств возражать и, впоследствии, обжаловать судебный акт, если от него уполномоченный орган и суд скрывают факты и обстоятельства, на основе которых суд намеревается вынести акт о возложении обязанностей. Заявитель полагает, что это противоречит части 3 статьи 99, части 2 статьи 33 </w:t>
      </w:r>
      <w:hyperlink w:history="1" r:id="rIdsjjtx0qehdv9e01spogs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которым судопроизводство осуществляется на основе состязательности и равноправия сторон; каждый имеет право на ознакомление в органах государственной власти, органах местного самоуправления, учреждениях и организациях со сведениями о себе.</w:t>
      </w:r>
    </w:p>
    <w:p>
      <w:pPr>
        <w:spacing w:after="120"/>
        <w:jc w:val="both"/>
      </w:pPr>
      <w:r>
        <w:rPr>
          <w:rFonts w:ascii="Arial" w:cs="Arial" w:eastAsia="Arial" w:hAnsi="Arial"/>
          <w:sz w:val="24"/>
          <w:szCs w:val="24"/>
        </w:rPr>
        <w:t xml:space="preserve">Субъект обращения отмечает, что согласно части 1 статьи 22 оспариваемого </w:t>
      </w:r>
      <w:hyperlink w:history="1" r:id="rIdr9qfers0q4rxapp7oko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суд назначает лицу виды обязанностей, которые идентичны с мерами, предусмотренными в статье 46-3 Уголовного </w:t>
      </w:r>
      <w:hyperlink w:history="1" r:id="rIdg-6wq9sfuunm9of9mat_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этом, ссылаясь на часть 1 статьи 41 Уголовного </w:t>
      </w:r>
      <w:hyperlink w:history="1" r:id="rId0lztkzm85tvc09dhfpl3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заявитель указывает, что не совершившее общественно опасное деяние, невиновное лицо, подвергается незаконному ограничению прав и свобод как лицо уже совершившее преступление и осужденное по приговору суда. По его мнению, в правовом государстве ограничение свободы человека не может применяться как профилактическая мера, в связи с чем, считает, что часть 1 статьи 22 оспариваемого </w:t>
      </w:r>
      <w:hyperlink w:history="1" r:id="rIdcdrmqvw-7muowabupy9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противоречит части 3 статьи 24 </w:t>
      </w:r>
      <w:hyperlink w:history="1" r:id="rIdn57gyyviwkwswrqljh-o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установленном законом.</w:t>
      </w:r>
    </w:p>
    <w:p>
      <w:pPr>
        <w:spacing w:after="120"/>
        <w:jc w:val="both"/>
      </w:pPr>
      <w:r>
        <w:rPr>
          <w:rFonts w:ascii="Arial" w:cs="Arial" w:eastAsia="Arial" w:hAnsi="Arial"/>
          <w:sz w:val="24"/>
          <w:szCs w:val="24"/>
        </w:rPr>
        <w:t xml:space="preserve">Заявитель также обозначает, что части 3, 5 статьи 21, часть 1 статьи 22 оспариваемого </w:t>
      </w:r>
      <w:hyperlink w:history="1" r:id="rIdjp_nxntsvrkwthtnkue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противоречат частям 1 и 3 статьи 20 Конституции Кыргызской Республики, предусматривающих, что законом не могут устанавливаться ограничения прав и свобод в иных целях и в большей степени, чем это предусмотрено Конституцией, а также в Кыргызской Республике не должны приниматься законы, отменяющие или умаляющие права и свободы человека и гражданина.</w:t>
      </w:r>
    </w:p>
    <w:p>
      <w:pPr>
        <w:spacing w:after="120"/>
        <w:jc w:val="both"/>
      </w:pPr>
      <w:r>
        <w:rPr>
          <w:rFonts w:ascii="Arial" w:cs="Arial" w:eastAsia="Arial" w:hAnsi="Arial"/>
          <w:sz w:val="24"/>
          <w:szCs w:val="24"/>
        </w:rPr>
        <w:t xml:space="preserve">В оспариваемом законе, по мнению субъекта обращения, не предусмотрен порядок обжалования судебного акта о постановке на оперативно-превентивный учет, тогда как законодательная регламентация порядка и сроков обжалования судебного акта необходима гражданам для построения линии защиты и дальнейшего обжалования, в случае несогласия с таким актом. В этой связи, он полагает, что часть 5 статьи 15, часть 7 статьи 21 оспариваемого </w:t>
      </w:r>
      <w:hyperlink w:history="1" r:id="rIdka8pk2xc-hmvh6o1vjcl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противоречат части 5 статьи 99 </w:t>
      </w:r>
      <w:hyperlink w:history="1" r:id="rIdlsaquwqgdmve_4ouaqg9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процессуальные права участников судебного процесса, в том числе, право на обжалование решений, приговоров и других судебных актов, а также порядок их осуществления определяются законом.</w:t>
      </w:r>
    </w:p>
    <w:p>
      <w:pPr>
        <w:spacing w:after="120"/>
        <w:jc w:val="both"/>
      </w:pPr>
      <w:r>
        <w:rPr>
          <w:rFonts w:ascii="Arial" w:cs="Arial" w:eastAsia="Arial" w:hAnsi="Arial"/>
          <w:sz w:val="24"/>
          <w:szCs w:val="24"/>
        </w:rPr>
        <w:t xml:space="preserve">В связи с вышеизложенным, заявитель просит признать оспариваемые нормы неконституционными.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7 июня 2016 года ходатайство Манукяна С. М. в интересах Асанбека Камчы о проверке соответствия части 5 статьи 15, частей 3, 5, 7 статьи 21, пунктов 1-5 части 1 статьи 22 </w:t>
      </w:r>
      <w:hyperlink w:history="1" r:id="rIdc8ksomccdhg1f_khbrs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части 3 статьи 24, части 2 статьи 33, частям 3 и 5 статьи 99 </w:t>
      </w:r>
      <w:hyperlink w:history="1" r:id="rIdou361ww9p-9werfw_lyd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было принято к производству. В виду отсутствия правового обоснования в принятии ходатайства в остальной части было отказано.</w:t>
      </w:r>
    </w:p>
    <w:p>
      <w:pPr>
        <w:spacing w:after="120"/>
        <w:jc w:val="both"/>
      </w:pPr>
      <w:r>
        <w:rPr>
          <w:rFonts w:ascii="Arial" w:cs="Arial" w:eastAsia="Arial" w:hAnsi="Arial"/>
          <w:sz w:val="24"/>
          <w:szCs w:val="24"/>
        </w:rPr>
        <w:t xml:space="preserve">В судебном заседании обращающаяся сторона уточнила свои требования и просила проверить оспариваемые нормы на соответствие вместо части 1 на часть 2 статьи 20 </w:t>
      </w:r>
      <w:hyperlink w:history="1" r:id="rIdybqagsnnkfgikxftqb1v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удовлетворить ее требования в полном объеме.</w:t>
      </w:r>
    </w:p>
    <w:p>
      <w:pPr>
        <w:spacing w:after="120"/>
        <w:jc w:val="both"/>
      </w:pPr>
      <w:r>
        <w:rPr>
          <w:rFonts w:ascii="Arial" w:cs="Arial" w:eastAsia="Arial" w:hAnsi="Arial"/>
          <w:sz w:val="24"/>
          <w:szCs w:val="24"/>
        </w:rPr>
        <w:t xml:space="preserve">Представитель стороны-ответчика Бердимуратов Ч. М. не согласился с доводами обращающейся стороны и считает, что оспариваемые нормы закона не противоречат </w:t>
      </w:r>
      <w:hyperlink w:history="1" r:id="rIda5cudxxykzefzvp_sx10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просит отказать в удовлетворении требований, заявленных обращающейся стороной.</w:t>
      </w:r>
    </w:p>
    <w:p>
      <w:pPr>
        <w:spacing w:after="120"/>
        <w:jc w:val="both"/>
      </w:pPr>
      <w:r>
        <w:rPr>
          <w:rFonts w:ascii="Arial" w:cs="Arial" w:eastAsia="Arial" w:hAnsi="Arial"/>
          <w:sz w:val="24"/>
          <w:szCs w:val="24"/>
        </w:rPr>
        <w:t xml:space="preserve">Так, относительно части 3 статьи 21 оспариваемого </w:t>
      </w:r>
      <w:hyperlink w:history="1" r:id="rIdedsci6xn3wzw8ml780z7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Бердимуратов Ч. М считает, что в реализацию части 3 статьи 40 </w:t>
      </w:r>
      <w:hyperlink w:history="1" r:id="rIdiyjpqkrxcce0w9__gxdj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 законы, гарантирующие участие адвокатов в судах.</w:t>
      </w:r>
    </w:p>
    <w:p>
      <w:pPr>
        <w:spacing w:after="120"/>
        <w:jc w:val="both"/>
      </w:pPr>
      <w:r>
        <w:rPr>
          <w:rFonts w:ascii="Arial" w:cs="Arial" w:eastAsia="Arial" w:hAnsi="Arial"/>
          <w:sz w:val="24"/>
          <w:szCs w:val="24"/>
        </w:rPr>
        <w:t xml:space="preserve">По части 5 статьи 21 оспариваемого </w:t>
      </w:r>
      <w:hyperlink w:history="1" r:id="rIdecba8rxbajaemnsqarv_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представитель стороны - ответчика отметил, что в данной норме установлено право суда, а не его обязанность, при этом, решение суда может быть обжаловано лицом в вышестоящий суд в порядке, установленном процессуальным законодательством.</w:t>
      </w:r>
    </w:p>
    <w:p>
      <w:pPr>
        <w:spacing w:after="120"/>
        <w:jc w:val="both"/>
      </w:pPr>
      <w:r>
        <w:rPr>
          <w:rFonts w:ascii="Arial" w:cs="Arial" w:eastAsia="Arial" w:hAnsi="Arial"/>
          <w:sz w:val="24"/>
          <w:szCs w:val="24"/>
        </w:rPr>
        <w:t xml:space="preserve">Относительно оспариваемых пунктов 1-5 части 1 статьи 22 Бердимуратов Ч. М. отметил, что данные нормы не предполагают применение ареста, содержание под стражей или лишение свободы лица. Приводимые заявителем нормы Уголовного кодекса Кыргызской Республики предусматривают ограничение прав и свобод осужденных лиц, тогда как оспариваемым Законом права и свободы лица, к которому применяются превентивные меры воздействия, подвергаются ограничению, допускаемому частью 2 статьи 20 </w:t>
      </w:r>
      <w:hyperlink w:history="1" r:id="rId1llrm0ktc_0useqb9-mn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этом одной из задач оспариваемого Закона является защита прав и свобод физических и юридических лиц, безопасности общества и государства от организованной преступности.</w:t>
      </w:r>
    </w:p>
    <w:p>
      <w:pPr>
        <w:spacing w:after="120"/>
        <w:jc w:val="both"/>
      </w:pPr>
      <w:r>
        <w:rPr>
          <w:rFonts w:ascii="Arial" w:cs="Arial" w:eastAsia="Arial" w:hAnsi="Arial"/>
          <w:sz w:val="24"/>
          <w:szCs w:val="24"/>
        </w:rPr>
        <w:t xml:space="preserve">По части 5 статьи 15 и части 7 статьи 21 оспариваемого </w:t>
      </w:r>
      <w:hyperlink w:history="1" r:id="rId8dn2iej5bnz_skxgtz2-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сторона- ответчик считает, что общий судебный порядок, в том числе, порядок обжалования судебных решений для такой категории дел предусмотрен в Уголовно-процессуальном </w:t>
      </w:r>
      <w:hyperlink w:history="1" r:id="rIdr7nuoftgqxnah1dkeuawe">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в связи с чем, суды могут руководствоваться нормами кодекса и оспариваемого Закона.</w:t>
      </w:r>
    </w:p>
    <w:p>
      <w:pPr>
        <w:spacing w:after="120"/>
        <w:jc w:val="both"/>
      </w:pPr>
      <w:r>
        <w:rPr>
          <w:rFonts w:ascii="Arial" w:cs="Arial" w:eastAsia="Arial" w:hAnsi="Arial"/>
          <w:sz w:val="24"/>
          <w:szCs w:val="24"/>
        </w:rPr>
        <w:t xml:space="preserve"> Представители Министерства внутренних дел Кыргызской Республики, считают, что оспариваемые нормы не противоречат Конституции Кыргызской Республики и направлены на предупреждение возможных преступных действий со стороны лиц, которые поставлены на оперативно-превентивный учет. По их мнению, постановка на такой учет применяется только в отношении лиц, которые причастны к организованной преступности.</w:t>
      </w:r>
    </w:p>
    <w:p>
      <w:pPr>
        <w:spacing w:after="120"/>
        <w:jc w:val="both"/>
      </w:pPr>
      <w:r>
        <w:rPr>
          <w:rFonts w:ascii="Arial" w:cs="Arial" w:eastAsia="Arial" w:hAnsi="Arial"/>
          <w:sz w:val="24"/>
          <w:szCs w:val="24"/>
        </w:rPr>
        <w:t xml:space="preserve">Представитель Верховного суда Кыргызской Республики не выразила позицию по рассматриваемому делу и оставила разрешение этого вопроса на усмотрение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vmcvwh328tiwpyjem8da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часть 5 статьи 15, части 3, 5, 7 статьи 21, пункты 1-5 части 1 статьи 22 </w:t>
      </w:r>
      <w:hyperlink w:history="1" r:id="rIdii5u4mohhquivflkat9p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следующего содержания:</w:t>
      </w:r>
    </w:p>
    <w:p>
      <w:pPr>
        <w:spacing w:after="120"/>
        <w:jc w:val="both"/>
      </w:pPr>
      <w:r>
        <w:rPr>
          <w:rFonts w:ascii="Arial" w:cs="Arial" w:eastAsia="Arial" w:hAnsi="Arial"/>
          <w:sz w:val="24"/>
          <w:szCs w:val="24"/>
        </w:rPr>
        <w:t xml:space="preserve">     «Статья 15. Постановка на оперативно-превентивный учет</w:t>
      </w:r>
    </w:p>
    <w:p>
      <w:pPr>
        <w:spacing w:after="120"/>
        <w:jc w:val="both"/>
      </w:pPr>
      <w:r>
        <w:rPr>
          <w:rFonts w:ascii="Arial" w:cs="Arial" w:eastAsia="Arial" w:hAnsi="Arial"/>
          <w:sz w:val="24"/>
          <w:szCs w:val="24"/>
        </w:rPr>
        <w:t xml:space="preserve">     5. Решение о постановке на оперативно-превентивный учет может быть обжаловано лицом, в отношении которого оно вынесено, в судебном порядке.</w:t>
      </w:r>
    </w:p>
    <w:p>
      <w:pPr>
        <w:spacing w:after="120"/>
        <w:jc w:val="both"/>
      </w:pPr>
      <w:r>
        <w:rPr>
          <w:rFonts w:ascii="Arial" w:cs="Arial" w:eastAsia="Arial" w:hAnsi="Arial"/>
          <w:sz w:val="24"/>
          <w:szCs w:val="24"/>
        </w:rPr>
        <w:t xml:space="preserve">     Статья 21. Порядок назначения возлагаемых судом обязанностей</w:t>
      </w:r>
    </w:p>
    <w:p>
      <w:pPr>
        <w:spacing w:after="120"/>
        <w:jc w:val="both"/>
      </w:pPr>
      <w:r>
        <w:rPr>
          <w:rFonts w:ascii="Arial" w:cs="Arial" w:eastAsia="Arial" w:hAnsi="Arial"/>
          <w:sz w:val="24"/>
          <w:szCs w:val="24"/>
        </w:rPr>
        <w:t xml:space="preserve">     3. Мотивированное ходатайство о назначении возлагаемых судом обязанностей рассматривается судом при участии лица, которому предлагается назначить возлагаемые судом обязанности, и должностного лица уполномоченного органа.</w:t>
      </w:r>
    </w:p>
    <w:p>
      <w:pPr>
        <w:spacing w:after="120"/>
        <w:jc w:val="both"/>
      </w:pPr>
      <w:r>
        <w:rPr>
          <w:rFonts w:ascii="Arial" w:cs="Arial" w:eastAsia="Arial" w:hAnsi="Arial"/>
          <w:sz w:val="24"/>
          <w:szCs w:val="24"/>
        </w:rPr>
        <w:t xml:space="preserve">     5. Лица, участвующие при рассмотрении ходатайства о назначении возлагаемых судом обязанностей, имеют право давать суду объяснения. Суд имеет право ознакомиться со всеми представленными должностным лицом уполномоченного органа материалами без оглашения.</w:t>
      </w:r>
    </w:p>
    <w:p>
      <w:pPr>
        <w:spacing w:after="120"/>
        <w:jc w:val="both"/>
      </w:pPr>
      <w:r>
        <w:rPr>
          <w:rFonts w:ascii="Arial" w:cs="Arial" w:eastAsia="Arial" w:hAnsi="Arial"/>
          <w:sz w:val="24"/>
          <w:szCs w:val="24"/>
        </w:rPr>
        <w:t xml:space="preserve">     Разглашение сведений о представленных материалах влечет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7. Лицо, которому были назначены возлагаемые судом обязанности, и должностное лицо уполномоченного органа вправе обжаловать судебный акт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Статья 22. Виды возлагаемых судом обязанностей</w:t>
      </w:r>
    </w:p>
    <w:p>
      <w:pPr>
        <w:spacing w:after="120"/>
        <w:jc w:val="both"/>
      </w:pPr>
      <w:r>
        <w:rPr>
          <w:rFonts w:ascii="Arial" w:cs="Arial" w:eastAsia="Arial" w:hAnsi="Arial"/>
          <w:sz w:val="24"/>
          <w:szCs w:val="24"/>
        </w:rPr>
        <w:t xml:space="preserve">     1. Суд, после получения ходатайства о назначении возлагаемых судом обязанностей и ознакомления со всеми материалами, представленными должностным лицом уполномоченного органа, назначает лицу одно или несколько следующих обязанностей:</w:t>
      </w:r>
    </w:p>
    <w:p>
      <w:pPr>
        <w:spacing w:after="120"/>
        <w:jc w:val="both"/>
      </w:pPr>
      <w:r>
        <w:rPr>
          <w:rFonts w:ascii="Arial" w:cs="Arial" w:eastAsia="Arial" w:hAnsi="Arial"/>
          <w:sz w:val="24"/>
          <w:szCs w:val="24"/>
        </w:rPr>
        <w:t xml:space="preserve">     1) не менять постоянного места жительства без уведомления осуществляющего контроль должностного лица уполномоченного органа;</w:t>
      </w:r>
    </w:p>
    <w:p>
      <w:pPr>
        <w:spacing w:after="120"/>
        <w:jc w:val="both"/>
      </w:pPr>
      <w:r>
        <w:rPr>
          <w:rFonts w:ascii="Arial" w:cs="Arial" w:eastAsia="Arial" w:hAnsi="Arial"/>
          <w:sz w:val="24"/>
          <w:szCs w:val="24"/>
        </w:rPr>
        <w:t xml:space="preserve">     2) не поддерживать связь с конкретно перечисленными лицами непосредственно; через других лиц; с помощью технических и иных средств;</w:t>
      </w:r>
    </w:p>
    <w:p>
      <w:pPr>
        <w:spacing w:after="120"/>
        <w:jc w:val="both"/>
      </w:pPr>
      <w:r>
        <w:rPr>
          <w:rFonts w:ascii="Arial" w:cs="Arial" w:eastAsia="Arial" w:hAnsi="Arial"/>
          <w:sz w:val="24"/>
          <w:szCs w:val="24"/>
        </w:rPr>
        <w:t xml:space="preserve">     3) находиться по месту жительства в определенное ему время суток;</w:t>
      </w:r>
    </w:p>
    <w:p>
      <w:pPr>
        <w:spacing w:after="120"/>
        <w:jc w:val="both"/>
      </w:pPr>
      <w:r>
        <w:rPr>
          <w:rFonts w:ascii="Arial" w:cs="Arial" w:eastAsia="Arial" w:hAnsi="Arial"/>
          <w:sz w:val="24"/>
          <w:szCs w:val="24"/>
        </w:rPr>
        <w:t xml:space="preserve">     4) не посещать определенные места, указанные в ходатайстве;</w:t>
      </w:r>
    </w:p>
    <w:p>
      <w:pPr>
        <w:spacing w:after="120"/>
        <w:jc w:val="both"/>
      </w:pPr>
      <w:r>
        <w:rPr>
          <w:rFonts w:ascii="Arial" w:cs="Arial" w:eastAsia="Arial" w:hAnsi="Arial"/>
          <w:sz w:val="24"/>
          <w:szCs w:val="24"/>
        </w:rPr>
        <w:t xml:space="preserve">     5) не осуществлять вождение автомототранспортного средства;».</w:t>
      </w:r>
    </w:p>
    <w:p>
      <w:pPr>
        <w:spacing w:after="120"/>
        <w:jc w:val="both"/>
      </w:pPr>
      <w:hyperlink w:history="1" r:id="rIdbasdfpsx5p3mtuonr3x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организованной преступности» от 29 мая 2013 года № 82 опубликован в газете «Эркин Тоо» от 4 июня 2013 года № 46,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     2. </w:t>
      </w:r>
      <w:hyperlink w:history="1" r:id="rId4tv2azn_u5uhe1m_yrw6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права и свободы человека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(часть 1 статьи 16).</w:t>
      </w:r>
    </w:p>
    <w:p>
      <w:pPr>
        <w:spacing w:after="120"/>
        <w:jc w:val="both"/>
      </w:pPr>
      <w:r>
        <w:rPr>
          <w:rFonts w:ascii="Arial" w:cs="Arial" w:eastAsia="Arial" w:hAnsi="Arial"/>
          <w:sz w:val="24"/>
          <w:szCs w:val="24"/>
        </w:rPr>
        <w:t xml:space="preserve">     Реализация указанного конституционного принципа в сфере правового регулирования противодействия организованной преступности предполагает использование соответствующих правовых механизмов как для защиты физических и юридических лиц, безопасности общества и государства от преступных посягательств, так и недопущение избыточного ограничения прав и свобод при применении превентивных мер правового принуждения. Соответственно, характер и содержание устанавливаемых законом мер должны определяться исходя не только из их обусловленности целями защиты конституционно значимых ценностей, но и из требования адекватности порождаемых последствий в результате действий организованной преступности.</w:t>
      </w:r>
    </w:p>
    <w:p>
      <w:pPr>
        <w:spacing w:after="120"/>
        <w:jc w:val="both"/>
      </w:pPr>
      <w:r>
        <w:rPr>
          <w:rFonts w:ascii="Arial" w:cs="Arial" w:eastAsia="Arial" w:hAnsi="Arial"/>
          <w:sz w:val="24"/>
          <w:szCs w:val="24"/>
        </w:rPr>
        <w:t xml:space="preserve">     Предусмотренные законом меры должны соответствовать социальным реалиям, с одной стороны, не приводя к ослаблению защиты конституционно значимых ценностей и к избыточному применению государственного принуждения, с другой стороны. Это согласуется с положениями Всеобщей декларации прав человека, в силу которой при осуществлении своих прав и свобод каждый человек может быть подвергнут только таким ограничениям, какие предусмотрены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 (пункт 2 статьи 29).</w:t>
      </w:r>
    </w:p>
    <w:p>
      <w:pPr>
        <w:spacing w:after="120"/>
        <w:jc w:val="both"/>
      </w:pPr>
      <w:r>
        <w:rPr>
          <w:rFonts w:ascii="Arial" w:cs="Arial" w:eastAsia="Arial" w:hAnsi="Arial"/>
          <w:sz w:val="24"/>
          <w:szCs w:val="24"/>
        </w:rPr>
        <w:t xml:space="preserve">     Соответственно, для решения задач по обеспечению безопасности человека, общества и государства в современных условиях, сопряженных с многочисленными и возрастающими криминальными угрозами, законодатель правомочен устанавливать правовые механизмы противодействия организованной преступности, что и было реализовано посредством принятия </w:t>
      </w:r>
      <w:hyperlink w:history="1" r:id="rId6pcnfetpigqf1re9iil3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     3. В оспариваемом </w:t>
      </w:r>
      <w:hyperlink w:history="1" r:id="rIdqgoxei8nhk_k_ctg6ps1p">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рассмотрение мотивированного ходатайства должностного лица уполномоченного органа о назначении возлагаемых судом обязанностей производится судом при участии лица, на которого они могут быть возложены (часть 3 статьи 21).</w:t>
      </w:r>
    </w:p>
    <w:p>
      <w:pPr>
        <w:spacing w:after="120"/>
        <w:jc w:val="both"/>
      </w:pPr>
      <w:r>
        <w:rPr>
          <w:rFonts w:ascii="Arial" w:cs="Arial" w:eastAsia="Arial" w:hAnsi="Arial"/>
          <w:sz w:val="24"/>
          <w:szCs w:val="24"/>
        </w:rPr>
        <w:t xml:space="preserve">     Заявитель считает, что отсутствие упоминания в оспариваемой норме адвоката как участника процесса, не дает возможности пользоваться его услугами. Такое утверждение заявителя является несостоятельным, поскольку отсутствие правовой регламентации не означает невозможность привлечения адвоката лицом, в отношении которого применяются превентивные меры воздействия. Конституция Кыргызской Республики, как нормативный правовой акт прямого действия, гарантирует каждому защищать свои права и свободы всеми способами, не запрещёнными законом (часть 2 статьи 40). Реализация этого права, исходя из смысла части 3 статьи 40 </w:t>
      </w:r>
      <w:hyperlink w:history="1" r:id="rIdsrwravhhwsj6zvmaxy6g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предполагает возможность получения квалифицированной юридической помощи, оказываемой адвокатом.</w:t>
      </w:r>
    </w:p>
    <w:p>
      <w:pPr>
        <w:spacing w:after="120"/>
        <w:jc w:val="both"/>
      </w:pPr>
      <w:r>
        <w:rPr>
          <w:rFonts w:ascii="Arial" w:cs="Arial" w:eastAsia="Arial" w:hAnsi="Arial"/>
          <w:sz w:val="24"/>
          <w:szCs w:val="24"/>
        </w:rPr>
        <w:t xml:space="preserve">     Закрепляя каждому право на получение квалифицированной юридической помощи как непосредственно действующее, </w:t>
      </w:r>
      <w:hyperlink w:history="1" r:id="rId7mq9kpi4-izwrjlh6dmk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не связывает предоставление помощи адвоката с формальным признанием лица, подозреваемым либо обвиняемым, следовательно, с момента принятия правоохранительными либо судебными органами процессуального акта не наделяет законодателя правом устанавливать ограничительные условия его реализации. Данная норма </w:t>
      </w:r>
      <w:hyperlink w:history="1" r:id="rIdow6y3kkar4inpfuvqvqn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указывает на сущностные признаки, характеризующие фактическое положение лица как нуждающегося в правовой помощи в силу того, что его конституционные права, прежде всего, на свободу и личную неприкосновенность могут быть ограничены. Поэтому конституционное право пользоваться помощью адвоката возникает у конкретного лица с того момента, когда ограничение его прав становится реальным. По буквальному смыслу положений, закрепленных в статье 40 Конституции Кыргызской Республики, право на получение юридической помощи адвоката гарантируется каждому лицу независимо от его формального процессуального статуса, если управомоченными органами власти в отношении этого лица предприняты меры, которыми реально ограничиваются свобода и личная неприкосновенность, включая свободу передвижения, доставление в правоохранительные органы, суд или какие-либо иные действия, существенно ограничивающие свободу и личную неприкосновенность.</w:t>
      </w:r>
    </w:p>
    <w:p>
      <w:pPr>
        <w:spacing w:after="120"/>
        <w:jc w:val="both"/>
      </w:pPr>
      <w:r>
        <w:rPr>
          <w:rFonts w:ascii="Arial" w:cs="Arial" w:eastAsia="Arial" w:hAnsi="Arial"/>
          <w:sz w:val="24"/>
          <w:szCs w:val="24"/>
        </w:rPr>
        <w:t xml:space="preserve">     Соответственно, лицу, которому необходима квалифицированная юридическая помощь, независимо от его процессуального статуса должна быть предоставлена свобода выбора своего представителя в суде, будет ли это адвокат или иное лицо, обладающее или не обладающее специальными познаниями в области права.</w:t>
      </w:r>
    </w:p>
    <w:p>
      <w:pPr>
        <w:spacing w:after="120"/>
        <w:jc w:val="both"/>
      </w:pPr>
      <w:r>
        <w:rPr>
          <w:rFonts w:ascii="Arial" w:cs="Arial" w:eastAsia="Arial" w:hAnsi="Arial"/>
          <w:sz w:val="24"/>
          <w:szCs w:val="24"/>
        </w:rPr>
        <w:t xml:space="preserve">     Таким образом, право на защиту и получение квалифицированной юридической помощи, гарантированное частями 2 и 3 статьи 40 </w:t>
      </w:r>
      <w:hyperlink w:history="1" r:id="rId12eoxrmqqmngsuszhxpa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предполагает возможность участия адвоката при применении превентивных мер воздействия, что обеспечивает принцип состязательности и равноправия сторон, закрепленный в части 3 статьи 99 </w:t>
      </w:r>
      <w:hyperlink w:history="1" r:id="rId3e8dxoya_zgqj80jagc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этой связи часть 3 статьи 21 оспариваемого </w:t>
      </w:r>
      <w:hyperlink w:history="1" r:id="rIdy_ysnibkg4mfkkr1qta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противоречит части 3 статьи 40 </w:t>
      </w:r>
      <w:hyperlink w:history="1" r:id="rIdh0pfjzq63aiz-mhqjkjw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4. Обжалуемая заявителем часть 5 статьи 21 </w:t>
      </w:r>
      <w:hyperlink w:history="1" r:id="rIdamugwbvnabe1pqh98eg4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 что лица, участвующие при рассмотрении ходатайства о назначении возлагаемых судом обязанностей имеют право давать суду объяснения. Суд имеет право ознакомиться со всеми представленными должностным лицом уполномоченного органа материалами без оглашения.</w:t>
      </w:r>
    </w:p>
    <w:p>
      <w:pPr>
        <w:spacing w:after="120"/>
        <w:jc w:val="both"/>
      </w:pPr>
      <w:r>
        <w:rPr>
          <w:rFonts w:ascii="Arial" w:cs="Arial" w:eastAsia="Arial" w:hAnsi="Arial"/>
          <w:sz w:val="24"/>
          <w:szCs w:val="24"/>
        </w:rPr>
        <w:t xml:space="preserve">     Установление истины в ходе судебного разбирательства является ключевым элементом отправления правосудия, когда выводы суда всесторонне, в точности и полностью должны соответствовать объективной действительности.</w:t>
      </w:r>
    </w:p>
    <w:p>
      <w:pPr>
        <w:spacing w:after="120"/>
        <w:jc w:val="both"/>
      </w:pPr>
      <w:r>
        <w:rPr>
          <w:rFonts w:ascii="Arial" w:cs="Arial" w:eastAsia="Arial" w:hAnsi="Arial"/>
          <w:sz w:val="24"/>
          <w:szCs w:val="24"/>
        </w:rPr>
        <w:t xml:space="preserve">     Судья, как лицо, непосредственно осуществляющее отправление правосудия, обязан знать все обстоятельства рассматриваемого дела, в том числе и информацию, относящуюся к государственным секретам, для того, чтобы обеспечить справедливое судебное разбирательство, предполагающее вынесение законного и обоснованного судебного акта.</w:t>
      </w:r>
    </w:p>
    <w:p>
      <w:pPr>
        <w:spacing w:after="120"/>
        <w:jc w:val="both"/>
      </w:pPr>
      <w:r>
        <w:rPr>
          <w:rFonts w:ascii="Arial" w:cs="Arial" w:eastAsia="Arial" w:hAnsi="Arial"/>
          <w:sz w:val="24"/>
          <w:szCs w:val="24"/>
        </w:rPr>
        <w:t xml:space="preserve">     Именно в этих целях судьям предоставляется право на свободное и самостоятельное определение способа ознакомления с материалами и обстоятельствами рассматриваемого дела с тем, чтобы обеспечить, с одной стороны, защиту прав и свобод сторон и иных участников процесса, а также охрану конституционно-значимых ценностей, касающихся национальной безопасности, общественного порядка, здоровья и нравственности населения, с другой стороны.</w:t>
      </w:r>
    </w:p>
    <w:p>
      <w:pPr>
        <w:spacing w:after="120"/>
        <w:jc w:val="both"/>
      </w:pPr>
      <w:r>
        <w:rPr>
          <w:rFonts w:ascii="Arial" w:cs="Arial" w:eastAsia="Arial" w:hAnsi="Arial"/>
          <w:sz w:val="24"/>
          <w:szCs w:val="24"/>
        </w:rPr>
        <w:t xml:space="preserve">     Принимая во внимание, что меры превентивного характера применяются в отношении лиц, причастных к организованной преступности, материалы, представленные суду, могут содержать сведения, составляющие государственные секреты, которые становясь объектом судебного исследования, не утрачивают своей актуальности и не могут быть разглашены. Разглашение такого рода материалов может нанести непоправимый ущерб интересам государства в противодействии организованной преступности.</w:t>
      </w:r>
    </w:p>
    <w:p>
      <w:pPr>
        <w:spacing w:after="120"/>
        <w:jc w:val="both"/>
      </w:pPr>
      <w:r>
        <w:rPr>
          <w:rFonts w:ascii="Arial" w:cs="Arial" w:eastAsia="Arial" w:hAnsi="Arial"/>
          <w:sz w:val="24"/>
          <w:szCs w:val="24"/>
        </w:rPr>
        <w:t xml:space="preserve">     Соответственно ограничение допуска к материалам, относящимся к государственным секретам, участников судебного процесса при рассмотрении вопросов о постановке на оперативно-превентивный учет и возложении судом обязанностей является допустимым, поскольку это направлено на обеспечение национальной безопасности, общественного порядка, нравственности, здоровья населения, прав и свобод других лиц.</w:t>
      </w:r>
    </w:p>
    <w:p>
      <w:pPr>
        <w:spacing w:after="120"/>
        <w:jc w:val="both"/>
      </w:pPr>
      <w:r>
        <w:rPr>
          <w:rFonts w:ascii="Arial" w:cs="Arial" w:eastAsia="Arial" w:hAnsi="Arial"/>
          <w:sz w:val="24"/>
          <w:szCs w:val="24"/>
        </w:rPr>
        <w:t xml:space="preserve">     Таким образом, порядок ознакомления с материалами дела, регламентированный оспариваемым Законом, призванный обеспечивать сохранность государственных секретов, соответствует вышеуказанным  конституционным целям, предусмотренным частью 2 статьи 20 </w:t>
      </w:r>
      <w:hyperlink w:history="1" r:id="rIdimicxb9suj7bdyuayggo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противоречит части 2 статьи 33 и части 3 статьи 99 </w:t>
      </w:r>
      <w:hyperlink w:history="1" r:id="rIdgt4e0nf7akcop6ncyi02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5. Предусмотренные пунктами 1-5 части 1 статьи 22 </w:t>
      </w:r>
      <w:hyperlink w:history="1" r:id="rIdoaqda7b4pcolkmn6uuf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виды возлагаемых судом обязанностей являются мерой безопасности, которые используются в целях защиты общества и его членов от опасных посягательств. Содержание этих мер безопасности образуют специальные правоограничения в виде особых запретов и обязанностей, и не могут рассматриваться как мера наказания (кара), предусмотренная уголовным законом. В этой связи речь может идти только о максимально допустимой степени ограничения прав человека в целях достижения максимально возможной безопасности. Эти ограничения, будучи инструментом обеспечения безопасности, могут быть использованы как средство предупреждения преступности. Такие ограничения некоторых прав и свобод служат средством, обладающим профилактическим потенциалом и препятствующим человеку или группе лиц совершать преступления.</w:t>
      </w:r>
    </w:p>
    <w:p>
      <w:pPr>
        <w:spacing w:after="120"/>
        <w:jc w:val="both"/>
      </w:pPr>
      <w:r>
        <w:rPr>
          <w:rFonts w:ascii="Arial" w:cs="Arial" w:eastAsia="Arial" w:hAnsi="Arial"/>
          <w:sz w:val="24"/>
          <w:szCs w:val="24"/>
        </w:rPr>
        <w:t xml:space="preserve">     Поскольку организованная преступность посягает на безопасность государства, общественный порядок, представляет и для граждан повышенную общественную опасность, виды возлагаемых судом обязанностей, предусмотренные пунктами 1-5 части 1 статьи 22 оспариваемого </w:t>
      </w:r>
      <w:hyperlink w:history="1" r:id="rIds6iflbymz98wfirh9pcb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являются допустимыми ограничениями прав и свобод лиц, подвергаемых превентивным мерам воздействия, соразмерны целям, предусмотренным частью 2 статьи 20 </w:t>
      </w:r>
      <w:hyperlink w:history="1" r:id="rIdfxmjdeesulgyiwp_bxj3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противоречат части 3 указанной статьи </w:t>
      </w:r>
      <w:hyperlink w:history="1" r:id="rIduem08hfpu0660qwgw-6s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При этом следует отметить, что ограничение прав и свобод человека, в связи с применением превентивных мер воздействия, находится исключительно в компетенции суда, и не противоречит части 3 статьи 24 </w:t>
      </w:r>
      <w:hyperlink w:history="1" r:id="rId47nghrlp_ow0zm_bj4rm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6. Часть 5 статьи 15 оспариваемого </w:t>
      </w:r>
      <w:hyperlink w:history="1" r:id="rId097fxpcvkias_jjejydo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предусматривает возможность обжалования решения суда о постановке на оперативно-превентивный учет, которая является дополнительной гарантией в обеспечении прав лица, в отношении которого вынесено такое решение. Вместе с тем, законодатель не отрегулировал процессуальный порядок судопроизводства рассмотрения таких категорий материалов, а также порядка обжалования судебного акта о постановке на оперативно-превентивный учет и применение видов возлагаемых судом обязанностей, что следует рассматривать как пробел законодательства.</w:t>
      </w:r>
    </w:p>
    <w:p>
      <w:pPr>
        <w:spacing w:after="120"/>
        <w:jc w:val="both"/>
      </w:pPr>
      <w:r>
        <w:rPr>
          <w:rFonts w:ascii="Arial" w:cs="Arial" w:eastAsia="Arial" w:hAnsi="Arial"/>
          <w:sz w:val="24"/>
          <w:szCs w:val="24"/>
        </w:rPr>
        <w:t xml:space="preserve">     Однако, отсутствие правового регулирования процессуального порядка постановки на оперативно-превентивный учет и применения видов возлагаемых судом обязанностей и порядка обжалования судебного акта по таким категориям материалов, не может служить основанием для признания оспариваемой нормы противоречащей Конституции Кыргызской Республики. В связи с чем, законодателю следует восполнить обозначенный правовой пробел.</w:t>
      </w:r>
    </w:p>
    <w:p>
      <w:pPr>
        <w:spacing w:after="120"/>
        <w:jc w:val="both"/>
      </w:pPr>
      <w:r>
        <w:rPr>
          <w:rFonts w:ascii="Arial" w:cs="Arial" w:eastAsia="Arial" w:hAnsi="Arial"/>
          <w:sz w:val="24"/>
          <w:szCs w:val="24"/>
        </w:rPr>
        <w:t xml:space="preserve">     На основании вышеизложенного, руководствуясь пунктом 1 части 6, частями 8 и 9 статьи 97 </w:t>
      </w:r>
      <w:hyperlink w:history="1" r:id="rIdxsdmwjobravw5zf56w2q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kj2t7wwzuhfzghondjsm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Признать часть 5 статьи 15, части 3, 5, 7 статьи 21, пункты 1-5 части 1 статьи 22 </w:t>
      </w:r>
      <w:hyperlink w:history="1" r:id="rIdbaczgz7_fponnlo1oly8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непротиворечащими частям 2, 3 статьи 20, части 3 статьи 24, части 2 статьи 33, частям 3, 5 статьи 99 </w:t>
      </w:r>
      <w:hyperlink w:history="1" r:id="rIdlol_kwmu6b-ouikw0suj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2. Жогорку Кенешу Кыргызской Республики внести соответствующие дополнения в законодательство Кыргызской Республики, вытекающие из мотивировочной части настоящего Решения.</w:t>
      </w:r>
    </w:p>
    <w:p>
      <w:pPr>
        <w:spacing w:after="120"/>
        <w:jc w:val="both"/>
      </w:pPr>
      <w:r>
        <w:rPr>
          <w:rFonts w:ascii="Arial" w:cs="Arial" w:eastAsia="Arial" w:hAnsi="Arial"/>
          <w:sz w:val="24"/>
          <w:szCs w:val="24"/>
        </w:rPr>
        <w:t xml:space="preserve">     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     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     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gifr1wwt6nntlimh6pw">
      <w:r>
        <w:rPr>
          <w:rFonts w:ascii="Arial" w:cs="Arial" w:eastAsia="Arial" w:hAnsi="Arial"/>
          <w:color w:val="132D3F"/>
          <w:sz w:val="16"/>
          <w:szCs w:val="16"/>
          <w:u w:val="single"/>
        </w:rPr>
        <w:t xml:space="preserve">dalil.kg/document/9648</w:t>
      </w:r>
    </w:hyperlink>
  </w:p>
  <w:p>
    <w:pPr>
      <w:spacing w:after="0" w:before="40"/>
      <w:jc w:val="center"/>
    </w:pPr>
    <w:hyperlink w:history="1" r:id="rIdzdg1a_25q51uowcxy9r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4ow8vgwuw8ysembmfex" Type="http://schemas.openxmlformats.org/officeDocument/2006/relationships/hyperlink" Target="https://dalil.kg/document/202913" TargetMode="External"/><Relationship Id="rIdplwad9_-okfe6bjoitnmu" Type="http://schemas.openxmlformats.org/officeDocument/2006/relationships/hyperlink" Target="https://dalil.kg/document/203281" TargetMode="External"/><Relationship Id="rIdsip6h19hpgred8vig55y4" Type="http://schemas.openxmlformats.org/officeDocument/2006/relationships/hyperlink" Target="https://dalil.kg/document/203890" TargetMode="External"/><Relationship Id="rIdt58iiq15i58tg2igrhzfe" Type="http://schemas.openxmlformats.org/officeDocument/2006/relationships/hyperlink" Target="https://dalil.kg/document/202913" TargetMode="External"/><Relationship Id="rIdidlj4adwr4ge4atvpy-vb" Type="http://schemas.openxmlformats.org/officeDocument/2006/relationships/hyperlink" Target="https://dalil.kg/document/203890" TargetMode="External"/><Relationship Id="rIdzuogk_1zazpfg3l0jwcbs" Type="http://schemas.openxmlformats.org/officeDocument/2006/relationships/hyperlink" Target="https://dalil.kg/document/203890" TargetMode="External"/><Relationship Id="rId8wudlqfjy9jjmhjfzlq1n" Type="http://schemas.openxmlformats.org/officeDocument/2006/relationships/hyperlink" Target="https://dalil.kg/document/202913" TargetMode="External"/><Relationship Id="rIdr7-poutn0vftditity-p8" Type="http://schemas.openxmlformats.org/officeDocument/2006/relationships/hyperlink" Target="https://dalil.kg/document/203890" TargetMode="External"/><Relationship Id="rIdneibad_1tlthllgg1tyt5" Type="http://schemas.openxmlformats.org/officeDocument/2006/relationships/hyperlink" Target="https://dalil.kg/document/202913" TargetMode="External"/><Relationship Id="rId0c5itkkzfopqntyohgw13" Type="http://schemas.openxmlformats.org/officeDocument/2006/relationships/hyperlink" Target="https://dalil.kg/document/203890" TargetMode="External"/><Relationship Id="rIdsjjtx0qehdv9e01spogs6" Type="http://schemas.openxmlformats.org/officeDocument/2006/relationships/hyperlink" Target="https://dalil.kg/document/202913" TargetMode="External"/><Relationship Id="rIdr9qfers0q4rxapp7okokj" Type="http://schemas.openxmlformats.org/officeDocument/2006/relationships/hyperlink" Target="https://dalil.kg/document/203890" TargetMode="External"/><Relationship Id="rIdg-6wq9sfuunm9of9mat_e" Type="http://schemas.openxmlformats.org/officeDocument/2006/relationships/hyperlink" Target="https://dalil.kg/document/568" TargetMode="External"/><Relationship Id="rId0lztkzm85tvc09dhfpl3l" Type="http://schemas.openxmlformats.org/officeDocument/2006/relationships/hyperlink" Target="https://dalil.kg/document/568" TargetMode="External"/><Relationship Id="rIdcdrmqvw-7muowabupy9ry" Type="http://schemas.openxmlformats.org/officeDocument/2006/relationships/hyperlink" Target="https://dalil.kg/document/203890" TargetMode="External"/><Relationship Id="rIdn57gyyviwkwswrqljh-o3" Type="http://schemas.openxmlformats.org/officeDocument/2006/relationships/hyperlink" Target="https://dalil.kg/document/202913" TargetMode="External"/><Relationship Id="rIdjp_nxntsvrkwthtnkuecs" Type="http://schemas.openxmlformats.org/officeDocument/2006/relationships/hyperlink" Target="https://dalil.kg/document/203890" TargetMode="External"/><Relationship Id="rIdka8pk2xc-hmvh6o1vjcl0" Type="http://schemas.openxmlformats.org/officeDocument/2006/relationships/hyperlink" Target="https://dalil.kg/document/203890" TargetMode="External"/><Relationship Id="rIdlsaquwqgdmve_4ouaqg9e" Type="http://schemas.openxmlformats.org/officeDocument/2006/relationships/hyperlink" Target="https://dalil.kg/document/202913" TargetMode="External"/><Relationship Id="rIdc8ksomccdhg1f_khbrsfk" Type="http://schemas.openxmlformats.org/officeDocument/2006/relationships/hyperlink" Target="https://dalil.kg/document/203890" TargetMode="External"/><Relationship Id="rIdou361ww9p-9werfw_lyd9" Type="http://schemas.openxmlformats.org/officeDocument/2006/relationships/hyperlink" Target="https://dalil.kg/document/202913" TargetMode="External"/><Relationship Id="rIdybqagsnnkfgikxftqb1vt" Type="http://schemas.openxmlformats.org/officeDocument/2006/relationships/hyperlink" Target="https://dalil.kg/document/202913" TargetMode="External"/><Relationship Id="rIda5cudxxykzefzvp_sx10z" Type="http://schemas.openxmlformats.org/officeDocument/2006/relationships/hyperlink" Target="https://dalil.kg/document/202913" TargetMode="External"/><Relationship Id="rIdedsci6xn3wzw8ml780z71" Type="http://schemas.openxmlformats.org/officeDocument/2006/relationships/hyperlink" Target="https://dalil.kg/document/203890" TargetMode="External"/><Relationship Id="rIdiyjpqkrxcce0w9__gxdjb" Type="http://schemas.openxmlformats.org/officeDocument/2006/relationships/hyperlink" Target="https://dalil.kg/document/202913" TargetMode="External"/><Relationship Id="rIdecba8rxbajaemnsqarv_r" Type="http://schemas.openxmlformats.org/officeDocument/2006/relationships/hyperlink" Target="https://dalil.kg/document/203890" TargetMode="External"/><Relationship Id="rId1llrm0ktc_0useqb9-mnz" Type="http://schemas.openxmlformats.org/officeDocument/2006/relationships/hyperlink" Target="https://dalil.kg/document/202913" TargetMode="External"/><Relationship Id="rId8dn2iej5bnz_skxgtz2-o" Type="http://schemas.openxmlformats.org/officeDocument/2006/relationships/hyperlink" Target="https://dalil.kg/document/203890" TargetMode="External"/><Relationship Id="rIdr7nuoftgqxnah1dkeuawe" Type="http://schemas.openxmlformats.org/officeDocument/2006/relationships/hyperlink" Target="https://dalil.kg/document/9" TargetMode="External"/><Relationship Id="rIdvmcvwh328tiwpyjem8dab" Type="http://schemas.openxmlformats.org/officeDocument/2006/relationships/hyperlink" Target="https://dalil.kg/document/203281" TargetMode="External"/><Relationship Id="rIdii5u4mohhquivflkat9po" Type="http://schemas.openxmlformats.org/officeDocument/2006/relationships/hyperlink" Target="https://dalil.kg/document/203890" TargetMode="External"/><Relationship Id="rIdbasdfpsx5p3mtuonr3xsy" Type="http://schemas.openxmlformats.org/officeDocument/2006/relationships/hyperlink" Target="https://dalil.kg/document/203890" TargetMode="External"/><Relationship Id="rId4tv2azn_u5uhe1m_yrw6s" Type="http://schemas.openxmlformats.org/officeDocument/2006/relationships/hyperlink" Target="https://dalil.kg/document/202913" TargetMode="External"/><Relationship Id="rId6pcnfetpigqf1re9iil3m" Type="http://schemas.openxmlformats.org/officeDocument/2006/relationships/hyperlink" Target="https://dalil.kg/document/203890" TargetMode="External"/><Relationship Id="rIdqgoxei8nhk_k_ctg6ps1p" Type="http://schemas.openxmlformats.org/officeDocument/2006/relationships/hyperlink" Target="https://dalil.kg/document/203890" TargetMode="External"/><Relationship Id="rIdsrwravhhwsj6zvmaxy6gd" Type="http://schemas.openxmlformats.org/officeDocument/2006/relationships/hyperlink" Target="https://dalil.kg/document/202913" TargetMode="External"/><Relationship Id="rId7mq9kpi4-izwrjlh6dmki" Type="http://schemas.openxmlformats.org/officeDocument/2006/relationships/hyperlink" Target="https://dalil.kg/document/202913" TargetMode="External"/><Relationship Id="rIdow6y3kkar4inpfuvqvqn9" Type="http://schemas.openxmlformats.org/officeDocument/2006/relationships/hyperlink" Target="https://dalil.kg/document/202913" TargetMode="External"/><Relationship Id="rId12eoxrmqqmngsuszhxpal" Type="http://schemas.openxmlformats.org/officeDocument/2006/relationships/hyperlink" Target="https://dalil.kg/document/202913" TargetMode="External"/><Relationship Id="rId3e8dxoya_zgqj80jagcxs" Type="http://schemas.openxmlformats.org/officeDocument/2006/relationships/hyperlink" Target="https://dalil.kg/document/202913" TargetMode="External"/><Relationship Id="rIdy_ysnibkg4mfkkr1qtaqo" Type="http://schemas.openxmlformats.org/officeDocument/2006/relationships/hyperlink" Target="https://dalil.kg/document/203890" TargetMode="External"/><Relationship Id="rIdh0pfjzq63aiz-mhqjkjwv" Type="http://schemas.openxmlformats.org/officeDocument/2006/relationships/hyperlink" Target="https://dalil.kg/document/202913" TargetMode="External"/><Relationship Id="rIdamugwbvnabe1pqh98eg4l" Type="http://schemas.openxmlformats.org/officeDocument/2006/relationships/hyperlink" Target="https://dalil.kg/document/203890" TargetMode="External"/><Relationship Id="rIdimicxb9suj7bdyuayggoc" Type="http://schemas.openxmlformats.org/officeDocument/2006/relationships/hyperlink" Target="https://dalil.kg/document/202913" TargetMode="External"/><Relationship Id="rIdgt4e0nf7akcop6ncyi02o" Type="http://schemas.openxmlformats.org/officeDocument/2006/relationships/hyperlink" Target="https://dalil.kg/document/202913" TargetMode="External"/><Relationship Id="rIdoaqda7b4pcolkmn6uufcr" Type="http://schemas.openxmlformats.org/officeDocument/2006/relationships/hyperlink" Target="https://dalil.kg/document/203890" TargetMode="External"/><Relationship Id="rIds6iflbymz98wfirh9pcb9" Type="http://schemas.openxmlformats.org/officeDocument/2006/relationships/hyperlink" Target="https://dalil.kg/document/203890" TargetMode="External"/><Relationship Id="rIdfxmjdeesulgyiwp_bxj3b" Type="http://schemas.openxmlformats.org/officeDocument/2006/relationships/hyperlink" Target="https://dalil.kg/document/202913" TargetMode="External"/><Relationship Id="rIduem08hfpu0660qwgw-6sn" Type="http://schemas.openxmlformats.org/officeDocument/2006/relationships/hyperlink" Target="https://dalil.kg/document/202913" TargetMode="External"/><Relationship Id="rId47nghrlp_ow0zm_bj4rm0" Type="http://schemas.openxmlformats.org/officeDocument/2006/relationships/hyperlink" Target="https://dalil.kg/document/202913" TargetMode="External"/><Relationship Id="rId097fxpcvkias_jjejydo6" Type="http://schemas.openxmlformats.org/officeDocument/2006/relationships/hyperlink" Target="https://dalil.kg/document/203890" TargetMode="External"/><Relationship Id="rIdxsdmwjobravw5zf56w2qf" Type="http://schemas.openxmlformats.org/officeDocument/2006/relationships/hyperlink" Target="https://dalil.kg/document/202913" TargetMode="External"/><Relationship Id="rIdkj2t7wwzuhfzghondjsmu" Type="http://schemas.openxmlformats.org/officeDocument/2006/relationships/hyperlink" Target="https://dalil.kg/document/203890" TargetMode="External"/><Relationship Id="rIdbaczgz7_fponnlo1oly8i" Type="http://schemas.openxmlformats.org/officeDocument/2006/relationships/hyperlink" Target="https://dalil.kg/document/203890" TargetMode="External"/><Relationship Id="rIdlol_kwmu6b-ouikw0sujb"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gifr1wwt6nntlimh6pw" Type="http://schemas.openxmlformats.org/officeDocument/2006/relationships/hyperlink" Target="https://dalil.kg/document/9648" TargetMode="External"/><Relationship Id="rIdzdg1a_25q51uowcxy9r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2026-09-24T10:25:52.443Z</dcterms:created>
  <dcterms:modified xsi:type="dcterms:W3CDTF">2026-09-24T10:25:52.443Z</dcterms:modified>
</cp:coreProperties>
</file>

<file path=docProps/custom.xml><?xml version="1.0" encoding="utf-8"?>
<Properties xmlns="http://schemas.openxmlformats.org/officeDocument/2006/custom-properties" xmlns:vt="http://schemas.openxmlformats.org/officeDocument/2006/docPropsVTypes"/>
</file>