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idmh7wx34hy0vdkjq9yi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22 декабря 2015 года № 864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мая 2014 года № 278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дополнения в постановление Правительства Кыргызской Республики "Об утверждении норм материально-бытового обеспечения осужденных и лиц, заключенных под стражу, в учреждениях уголовно-исполнительной системы Кыргызской Республики" от 28 марта 2008 года № 113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материально-бытового обеспечения осужденных, в соответствии со статьей 17 </w:t>
      </w:r>
      <w:hyperlink w:history="1" r:id="rIdfgcfgsio0fq_3a5qymol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органах и учреждениях уголовно-исполнительной (пенитенциарной) системы"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dx7p38an05d_uqkex1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норм материально-бытового обеспечения осужденных и лиц, заключенных под стражу, в учреждениях уголовно-исполнительной системы Кыргызской Республики" от 28 марта 2008 года № 113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jxl9yz8s0io4iwaiyad8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нормах</w:t>
        </w:r>
      </w:hyperlink>
      <w:r>
        <w:rPr>
          <w:rFonts w:ascii="Arial" w:cs="Arial" w:eastAsia="Arial" w:hAnsi="Arial"/>
          <w:sz w:val="24"/>
          <w:szCs w:val="24"/>
        </w:rPr>
        <w:t xml:space="preserve"> материально-бытового обеспечения осужденных и лиц, заключенных под стражу, в учреждениях уголовно-исполнительной системы Кыргызской Республики, утвержденных вышеуказанным </w:t>
      </w:r>
      <w:hyperlink w:history="1" r:id="rIdcb-z-jixouhga6psfst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примечание нормы № 3 "Мебель и инвентарь, необходимые для обеспечения комнат длительного свидания" дополнить абзацем вторым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"Комнаты длительного свидания повышенной комфортности дополнительно обеспечиваются телевизором, аудио и видеотехникой и душевой кабиной.".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r4k-ivjnk4soysj35fr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dalil.kg/document/96515</w:t>
      </w:r>
    </w:hyperlink>
  </w:p>
  <w:p>
    <w:pPr>
      <w:spacing w:after="0" w:before="40"/>
      <w:jc w:val="center"/>
    </w:pPr>
    <w:hyperlink w:history="1" r:id="rIdez8fmghilqurrvsusih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dmh7wx34hy0vdkjq9yi6" Type="http://schemas.openxmlformats.org/officeDocument/2006/relationships/hyperlink" Target="https://dalil.kg/document/98332" TargetMode="External"/><Relationship Id="rIdfgcfgsio0fq_3a5qymolp" Type="http://schemas.openxmlformats.org/officeDocument/2006/relationships/hyperlink" Target="https://dalil.kg/document/1323" TargetMode="External"/><Relationship Id="rIdrdx7p38an05d_uqkex1kj" Type="http://schemas.openxmlformats.org/officeDocument/2006/relationships/hyperlink" Target="https://dalil.kg/document/58952" TargetMode="External"/><Relationship Id="rIdjxl9yz8s0io4iwaiyad85" Type="http://schemas.openxmlformats.org/officeDocument/2006/relationships/hyperlink" Target="https://dalil.kg/document/58952#&#1088;1" TargetMode="External"/><Relationship Id="rIdcb-z-jixouhga6psfstyw" Type="http://schemas.openxmlformats.org/officeDocument/2006/relationships/hyperlink" Target="https://dalil.kg/document/5895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r4k-ivjnk4soysj35fr0" Type="http://schemas.openxmlformats.org/officeDocument/2006/relationships/hyperlink" Target="https://dalil.kg/document/96515" TargetMode="External"/><Relationship Id="rIdez8fmghilqurrvsusihx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2026-09-24T02:33:50.128Z</dcterms:created>
  <dcterms:modified xsi:type="dcterms:W3CDTF">2026-09-24T02:33:50.128Z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