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gcwjsli1agvgxdldj18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мая 2014 года № 281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ig5obb4s2oq5egv-vhdr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dzrr4s3dzfkpxa1ydctpu">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Налоговый </w:t>
      </w:r>
      <w:hyperlink w:history="1" r:id="rIdeaj3fgiqkhy_kcl7unmq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Текебаевым О.Ч.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x9ejiiagcjsaolsveaw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27 мая 2014 года № 281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Налоговый кодекс</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bzqoyuerxugp4ol4ypre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Текебаевым О.Ч.,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Представленным законопроектом предусматривается введение акцизного налога на экспорт золотого и серебряного сплавов и аффинированного золота и серебра.</w:t>
      </w:r>
    </w:p>
    <w:p>
      <w:pPr>
        <w:spacing w:after="120"/>
        <w:jc w:val="both"/>
      </w:pPr>
      <w:r>
        <w:rPr>
          <w:rFonts w:ascii="Arial" w:cs="Arial" w:eastAsia="Arial" w:hAnsi="Arial"/>
          <w:sz w:val="24"/>
          <w:szCs w:val="24"/>
        </w:rPr>
        <w:t xml:space="preserve">Статьей 20 Налогового кодекса Кыргызской Республики установлено, что акцизный налог является одним из косвенных налогов.</w:t>
      </w:r>
    </w:p>
    <w:p>
      <w:pPr>
        <w:spacing w:after="120"/>
        <w:jc w:val="both"/>
      </w:pPr>
      <w:r>
        <w:rPr>
          <w:rFonts w:ascii="Arial" w:cs="Arial" w:eastAsia="Arial" w:hAnsi="Arial"/>
          <w:sz w:val="24"/>
          <w:szCs w:val="24"/>
        </w:rPr>
        <w:t xml:space="preserve">В соответствии с международной практикой применения принципов взимания косвенных налогов при экспорте и импорте товаров (работ, услуг) применяется «принцип страны назначения». Данный принцип предусматривает применение освобождения от налогообложения товаров (работ, услуг) при экспорте с таможенной территории одной стороны и обложения по действующей ставке в соответствии с национальным законодательством другой стороной импортируемых (или импортированных) товаров (работ, услуг).</w:t>
      </w:r>
    </w:p>
    <w:p>
      <w:pPr>
        <w:spacing w:after="120"/>
        <w:jc w:val="both"/>
      </w:pPr>
      <w:r>
        <w:rPr>
          <w:rFonts w:ascii="Arial" w:cs="Arial" w:eastAsia="Arial" w:hAnsi="Arial"/>
          <w:sz w:val="24"/>
          <w:szCs w:val="24"/>
        </w:rPr>
        <w:t xml:space="preserve">Таким образом, производитель или импортер, согласно вышеуказанному принципу, должен облагаться косвенными налогами, в том числе акцизным налогом, только в одной стране.</w:t>
      </w:r>
    </w:p>
    <w:p>
      <w:pPr>
        <w:spacing w:after="120"/>
        <w:jc w:val="both"/>
      </w:pPr>
      <w:r>
        <w:rPr>
          <w:rFonts w:ascii="Arial" w:cs="Arial" w:eastAsia="Arial" w:hAnsi="Arial"/>
          <w:sz w:val="24"/>
          <w:szCs w:val="24"/>
        </w:rPr>
        <w:t xml:space="preserve">Введение акцизного налога на экспортируемые золотой и серебряный сплавы и аффинированное золото и серебро приведет к двойному налогообложению и нарушению вышеуказанного «принципа страны назначения».</w:t>
      </w:r>
    </w:p>
    <w:p>
      <w:pPr>
        <w:spacing w:after="120"/>
        <w:jc w:val="both"/>
      </w:pPr>
      <w:r>
        <w:rPr>
          <w:rFonts w:ascii="Arial" w:cs="Arial" w:eastAsia="Arial" w:hAnsi="Arial"/>
          <w:sz w:val="24"/>
          <w:szCs w:val="24"/>
        </w:rPr>
        <w:t xml:space="preserve">При этом, согласно справке-обоснованию к внесенному законопроекту, необходимость его принятия обуславливается крайне невыгодными для Кыргызской Республики условиями, предусмотренными соглашениями между Кыргызской Республикой и канадской компанией «Центерра Голд Инк».</w:t>
      </w:r>
    </w:p>
    <w:p>
      <w:pPr>
        <w:spacing w:after="120"/>
        <w:jc w:val="both"/>
      </w:pPr>
      <w:r>
        <w:rPr>
          <w:rFonts w:ascii="Arial" w:cs="Arial" w:eastAsia="Arial" w:hAnsi="Arial"/>
          <w:sz w:val="24"/>
          <w:szCs w:val="24"/>
        </w:rPr>
        <w:t xml:space="preserve">В этой связи следует отметить, что золото, добываемое ЗАО «Кумтор Оперейтинг Компани» и компанией «Центерра Голд Инк», в полном объеме выкупается ОАО «Кыргызалтын» на основании Пересмотренного договора о покупке золота и серебра. ОАО «Кыргызалтын» аффинирует данное золото и продает по мировым ценам.</w:t>
      </w:r>
    </w:p>
    <w:p>
      <w:pPr>
        <w:spacing w:after="120"/>
        <w:jc w:val="both"/>
      </w:pPr>
      <w:r>
        <w:rPr>
          <w:rFonts w:ascii="Arial" w:cs="Arial" w:eastAsia="Arial" w:hAnsi="Arial"/>
          <w:sz w:val="24"/>
          <w:szCs w:val="24"/>
        </w:rPr>
        <w:t xml:space="preserve">В целях обложения акцизным налогом экспортируемых золотых и серебряных сплавов, аффинированного золота и серебра необходимо внести изменения в Соглашение о новых условиях по проекту «Кумтор» от 24 апреля 2009 года (ратифицировано Законом Кыргызской Республики от 30 апреля 2009 года № 142).</w:t>
      </w:r>
    </w:p>
    <w:p>
      <w:pPr>
        <w:spacing w:after="120"/>
        <w:jc w:val="both"/>
      </w:pPr>
      <w:r>
        <w:rPr>
          <w:rFonts w:ascii="Arial" w:cs="Arial" w:eastAsia="Arial" w:hAnsi="Arial"/>
          <w:sz w:val="24"/>
          <w:szCs w:val="24"/>
        </w:rPr>
        <w:t xml:space="preserve">Так, в соответствии с нормами пункта «j» части 1.4.3 статьи 1 вышеуказанного Соглашения, проектные Компании обязаны выплачивать акцизный налог, по общеприменимым ставкам в соответствии с действующим Законодательством на товары, приобретенные Центеррой и Проектными Компаниями или от их имени. Проектные Компании будут освобождены от акцизных налогов в отношении товаров, ввозимых Проектными Компаниями или от их имени в связи с Деятельностью, Подпадающей под Новый Налоговый Режим, и продажи Продукции Проектными Компаниями или от их имени.</w:t>
      </w:r>
    </w:p>
    <w:p>
      <w:pPr>
        <w:spacing w:after="120"/>
        <w:jc w:val="both"/>
      </w:pPr>
      <w:r>
        <w:rPr>
          <w:rFonts w:ascii="Arial" w:cs="Arial" w:eastAsia="Arial" w:hAnsi="Arial"/>
          <w:sz w:val="24"/>
          <w:szCs w:val="24"/>
        </w:rPr>
        <w:t xml:space="preserve">При этом, согласно требованиям статьи 3 Налогового кодекса Кыргызской Республики, если соглашение, заключенное Правительством Кыргызской Республики, ратифицировано Жогорку Кенешем Кыргызской Республики либо заключено по поручению Жогорку Кенеша Кыргызской Республики во исполнение соглашения, ратифицированного Жогорку Кенешем Кыргызской Республики, устанавливает иные нормы, чем предусмотренные налоговым законодательством Кыргызской Республики, то к урегулированным таким соглашением налоговым отношениям применяются нормы этого соглашения.</w:t>
      </w:r>
    </w:p>
    <w:p>
      <w:pPr>
        <w:spacing w:after="120"/>
        <w:jc w:val="both"/>
      </w:pPr>
      <w:r>
        <w:rPr>
          <w:rFonts w:ascii="Arial" w:cs="Arial" w:eastAsia="Arial" w:hAnsi="Arial"/>
          <w:sz w:val="24"/>
          <w:szCs w:val="24"/>
        </w:rPr>
        <w:t xml:space="preserve">В настоящее время горнодобывающие предприятия, осуществляющие деятельность по добыче и реализации золотосодержащей руды, золотосодержащего концентрата, золотого сплава и аффинированного золота, кроме общеустановленных налогов (подоходного налога, налога с продаж (2 % от реализации), на имущество земельного налога), являются плательщиками налогов за пользование недрами (бонус, роялти – в размере до 5 % от выручки, полученной от реализации золота, серебра). А вместо налога на прибыль установлен налог на доход по ставке от 1 % до 20 % от реализации продукции, в зависимости от цены золота (сумма налога при повышении цены составляет до 50 % прибыли).</w:t>
      </w:r>
    </w:p>
    <w:p>
      <w:pPr>
        <w:spacing w:after="120"/>
        <w:jc w:val="both"/>
      </w:pPr>
      <w:r>
        <w:rPr>
          <w:rFonts w:ascii="Arial" w:cs="Arial" w:eastAsia="Arial" w:hAnsi="Arial"/>
          <w:sz w:val="24"/>
          <w:szCs w:val="24"/>
        </w:rPr>
        <w:t xml:space="preserve">Также горнодобывающие предприятия производят отчисления на развитие и содержание инфраструктуры местного значения в размере 2 % от выручки (без учета косвенных налогов), полученной от реализации полезных ископаемых.</w:t>
      </w:r>
    </w:p>
    <w:p>
      <w:pPr>
        <w:spacing w:after="120"/>
        <w:jc w:val="both"/>
      </w:pPr>
      <w:r>
        <w:rPr>
          <w:rFonts w:ascii="Arial" w:cs="Arial" w:eastAsia="Arial" w:hAnsi="Arial"/>
          <w:sz w:val="24"/>
          <w:szCs w:val="24"/>
        </w:rPr>
        <w:t xml:space="preserve">В связи с вышеизложенным, полагаем, что введение дополнительного акцизного налога в размере 5 % от выручки может привести к увеличению налогового бремени на налогоплательщика и, соответственно, к инвестиционной непривлекательности и убыточности этой отрасли.</w:t>
      </w:r>
    </w:p>
    <w:p>
      <w:pPr>
        <w:spacing w:after="120"/>
        <w:jc w:val="both"/>
      </w:pPr>
      <w:r>
        <w:rPr>
          <w:rFonts w:ascii="Arial" w:cs="Arial" w:eastAsia="Arial" w:hAnsi="Arial"/>
          <w:sz w:val="24"/>
          <w:szCs w:val="24"/>
        </w:rPr>
        <w:t xml:space="preserve">Увеличение доли золота, перерабатываемого отечественными ювелирами и сокращение вывоза золотосодержащей руды в целом, считаем целесообразным реализовать через изменения в сфере таможенно-тарифного регулирования, путем увеличения ставок таможенных пошлин.</w:t>
      </w:r>
    </w:p>
    <w:p>
      <w:pPr>
        <w:spacing w:after="120"/>
        <w:jc w:val="both"/>
      </w:pPr>
      <w:r>
        <w:rPr>
          <w:rFonts w:ascii="Arial" w:cs="Arial" w:eastAsia="Arial" w:hAnsi="Arial"/>
          <w:sz w:val="24"/>
          <w:szCs w:val="24"/>
        </w:rPr>
        <w:t xml:space="preserve">Учитывая вышеизложенное, Правительство Кыргызской Республики считает принятие предлагаемого проекта Закона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mesgav_spdwmfqrsuerh">
      <w:r>
        <w:rPr>
          <w:rFonts w:ascii="Arial" w:cs="Arial" w:eastAsia="Arial" w:hAnsi="Arial"/>
          <w:color w:val="132D3F"/>
          <w:sz w:val="16"/>
          <w:szCs w:val="16"/>
          <w:u w:val="single"/>
        </w:rPr>
        <w:t xml:space="preserve">dalil.kg/document/96517</w:t>
      </w:r>
    </w:hyperlink>
  </w:p>
  <w:p>
    <w:pPr>
      <w:spacing w:after="0" w:before="40"/>
      <w:jc w:val="center"/>
    </w:pPr>
    <w:hyperlink w:history="1" r:id="rIdke6h5lslotgjovbqmr_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cwjsli1agvgxdldj18y" Type="http://schemas.openxmlformats.org/officeDocument/2006/relationships/hyperlink" Target="https://dalil.kg/document/159126" TargetMode="External"/><Relationship Id="rIdig5obb4s2oq5egv-vhdrm" Type="http://schemas.openxmlformats.org/officeDocument/2006/relationships/hyperlink" Target="https://dalil.kg/document/203685" TargetMode="External"/><Relationship Id="rIddzrr4s3dzfkpxa1ydctpu" Type="http://schemas.openxmlformats.org/officeDocument/2006/relationships/hyperlink" Target="https://dalil.kg/document/96517#&#1088;1" TargetMode="External"/><Relationship Id="rIdeaj3fgiqkhy_kcl7unmqs" Type="http://schemas.openxmlformats.org/officeDocument/2006/relationships/hyperlink" Target="https://dalil.kg/document/202445" TargetMode="External"/><Relationship Id="rIdx9ejiiagcjsaolsveawl8" Type="http://schemas.openxmlformats.org/officeDocument/2006/relationships/hyperlink" Target="https://dalil.kg/document/96517" TargetMode="External"/><Relationship Id="rIdbzqoyuerxugp4ol4ypreg"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mesgav_spdwmfqrsuerh" Type="http://schemas.openxmlformats.org/officeDocument/2006/relationships/hyperlink" Target="https://dalil.kg/document/96517" TargetMode="External"/><Relationship Id="rIdke6h5lslotgjovbqmr_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2026-09-23T16:43:11.920Z</dcterms:created>
  <dcterms:modified xsi:type="dcterms:W3CDTF">2026-09-23T16:43:11.920Z</dcterms:modified>
</cp:coreProperties>
</file>

<file path=docProps/custom.xml><?xml version="1.0" encoding="utf-8"?>
<Properties xmlns="http://schemas.openxmlformats.org/officeDocument/2006/custom-properties" xmlns:vt="http://schemas.openxmlformats.org/officeDocument/2006/docPropsVTypes"/>
</file>