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3 декабря 2014 года № 59-р</w:t>
      </w:r>
    </w:p>
    <w:p>
      <w:pPr>
        <w:spacing w:after="120"/>
        <w:jc w:val="both"/>
      </w:pPr>
      <w:r>
        <w:rPr>
          <w:rFonts w:ascii="Arial" w:cs="Arial" w:eastAsia="Arial" w:hAnsi="Arial"/>
          <w:sz w:val="24"/>
          <w:szCs w:val="24"/>
        </w:rPr>
        <w:t xml:space="preserve">по делу о проверке конституционности части 2 статьи 352 Уголовно-процессуального </w:t>
      </w:r>
      <w:hyperlink w:history="1" r:id="rIdy33vrjxmdr2tt2cwkk9r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Ибраимова Рамиса Рамазановича и его представителя Закова Самата Орусбатовича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 при секретаре Илиязовой Н.А.,</w:t>
      </w:r>
    </w:p>
    <w:p>
      <w:pPr>
        <w:spacing w:after="120"/>
        <w:jc w:val="both"/>
      </w:pPr>
      <w:r>
        <w:rPr>
          <w:rFonts w:ascii="Arial" w:cs="Arial" w:eastAsia="Arial" w:hAnsi="Arial"/>
          <w:sz w:val="24"/>
          <w:szCs w:val="24"/>
        </w:rPr>
        <w:t xml:space="preserve">с участием: обращающейся стороны - гражданина Ибраимова Р.Р. и его представителя по доверенности Закова С.О.; стороны-ответчика - Карабековой К.С., представляющей интересы Жогорку Кенеша Кыргызской Республики по доверенности; иного лица - представителя Верховного суда Кыргызской Республики Бокошевой Ж.С. по доверенности,</w:t>
      </w:r>
    </w:p>
    <w:p>
      <w:pPr>
        <w:spacing w:after="120"/>
        <w:jc w:val="both"/>
      </w:pPr>
      <w:r>
        <w:rPr>
          <w:rFonts w:ascii="Arial" w:cs="Arial" w:eastAsia="Arial" w:hAnsi="Arial"/>
          <w:sz w:val="24"/>
          <w:szCs w:val="24"/>
        </w:rPr>
        <w:t xml:space="preserve">руководствуясь частями 1, 6, 8, 9, 10 статьи 97 </w:t>
      </w:r>
      <w:hyperlink w:history="1" r:id="rId_xo2kvtpdrab8g1isgs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fsnnptzzfv-fevltn7mw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2 статьи 352 Уголовно-процессуального </w:t>
      </w:r>
      <w:hyperlink w:history="1" r:id="rIdesitp66frol_7rhrs48w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дела явилось ходатайство гражданина Ибраимова Р.Р. и его представителя по доверенности Закова С.О.</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lz4vml1mjqubj7hfskkn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2 статьи 352 Уголовно-процессуального </w:t>
      </w:r>
      <w:hyperlink w:history="1" r:id="rId4jionqa4iushqmgkhayh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30 апреля 2014 года поступило ходатайство гражданина Ибраимова Р.Р. и его представителя по доверенности Закова С.О. о признании части 2 статьи 352 Уголовно-процессуального </w:t>
      </w:r>
      <w:hyperlink w:history="1" r:id="rIdndocesiqm8jvuxibmqqp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предусматривающей, что "приговор подлежит отмене, если в результате судебного разбирательства, проведенного неполно и односторонне, остались невыясненными обстоятельства, установление которых могло иметь существенное значение при постановлении приговора", неконституционной и противоречащей части 3 статьи 16, части 2 статьи 26, части 3 статьи 99 </w:t>
      </w:r>
      <w:hyperlink w:history="1" r:id="rIdlfob_bxtvs2nizgrhgb1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приложенных к ходатайству материалов следует, что органами предварительного следствия Ибраимов Р.Р. был обвинен в совершении преступлений, предусмотренных частью 1 статьи 310, частью 1 статьи 318 Уголовного </w:t>
      </w:r>
      <w:hyperlink w:history="1" r:id="rIdtl4hfpoxty49actgy_0m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именно в том, что он, занимая должность начальника управления по землеустройству и регистрации прав на недвижимое имущество Московского района Чуйской области Кыргызской Республики из корыстных побуждений 11 июня 2012 года, находясь в служебном кабинете, получил от гражданина Орозбакова М. заранее оговоренную взятку в размере 300 долларов США, за что обещал оказать помощь в переоформлении документов на недвижимость. После получения денежных средств, по версии следствия, Ибраимов Р. Р. воспрепятствовал сотрудникам Главного управления по борьбе с организованной преступностью и коррупцией Министерства внутренних дел Кыргызской Республики в проведении следственных действий.</w:t>
      </w:r>
    </w:p>
    <w:p>
      <w:pPr>
        <w:spacing w:after="120"/>
        <w:jc w:val="both"/>
      </w:pPr>
      <w:r>
        <w:rPr>
          <w:rFonts w:ascii="Arial" w:cs="Arial" w:eastAsia="Arial" w:hAnsi="Arial"/>
          <w:sz w:val="24"/>
          <w:szCs w:val="24"/>
        </w:rPr>
        <w:t xml:space="preserve">Сокулукский районный суд Чуйской области Кыргызской Республики 3 июня 2013 года по результатам судебного разбирательства вынес в отношении Ибраимова Р.Р. оправдательный приговор за отсутствием в его действиях состава преступления. На данный приговор помощником прокурора Сокулукского района Чуйской области было внесено апелляционное представление. Судебная коллегия Чуйского областного суда своим приговором от 21 августа 2013 года, рассмотрев дело в апелляционном порядке, оставила приговор Сокулукского районного суда Чуйской области Кыргызской Республики без изменения. На указанный приговор судебной коллегии старшим прокурором отдела прокуратуры Чуйской области было внесено представление в порядке надзора.</w:t>
      </w:r>
    </w:p>
    <w:p>
      <w:pPr>
        <w:spacing w:after="120"/>
        <w:jc w:val="both"/>
      </w:pPr>
      <w:r>
        <w:rPr>
          <w:rFonts w:ascii="Arial" w:cs="Arial" w:eastAsia="Arial" w:hAnsi="Arial"/>
          <w:sz w:val="24"/>
          <w:szCs w:val="24"/>
        </w:rPr>
        <w:t xml:space="preserve">Судебная коллегия Верховного суда Кыргызской Республики, руководствуясь частью 2 статьи 352 Уголовно-процессуального </w:t>
      </w:r>
      <w:hyperlink w:history="1" r:id="rIdtv2jfhn_hu3cvbctoihf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27 февраля 2014 года отменила приговор Сокулукского районного суда Чуйской области от 3 июня 2013 года и приговор судебной коллегии Чуйского областного суда от 21 августа 2013 года и направила уголовное дело на новое рассмотрение в Сокулукский районный суд Чуйской области в ином составе суда, потребовав устранить противоречия между показаниями свидетелей.</w:t>
      </w:r>
    </w:p>
    <w:p>
      <w:pPr>
        <w:spacing w:after="120"/>
        <w:jc w:val="both"/>
      </w:pPr>
      <w:r>
        <w:rPr>
          <w:rFonts w:ascii="Arial" w:cs="Arial" w:eastAsia="Arial" w:hAnsi="Arial"/>
          <w:sz w:val="24"/>
          <w:szCs w:val="24"/>
        </w:rPr>
        <w:t xml:space="preserve">По мнению заявителей, часть 2 статьи 352 Уголовно-процессуального </w:t>
      </w:r>
      <w:hyperlink w:history="1" r:id="rIdllicmgz6vlorggvothuk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нарушает предусмотренное частью 2 статьи 26 </w:t>
      </w:r>
      <w:hyperlink w:history="1" r:id="rIdcdz02nr1uehlytikekoo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требование о том, что "Никто не обязан доказывать свою невиновность. Любые сомнения в виновности толкуются в пользу обвиняемого". Они также считают, что оспариваемая норма противоречит части 3 статьи 16 Конституции Кыргызской Республики, устанавливающей равенство всех перед законом и судом, и части 3 статьи 99 Конституции Кыргызской Республики, закрепляющей состязательность и равноправие сторон, как принципы отправления правосудия. В обоснование своей позиции заявители также приводят положения частей 5, 6, 7 статьи 18 Уголовно-процессуального </w:t>
      </w:r>
      <w:hyperlink w:history="1" r:id="rIdwhjcjqrxvjw5axizmeby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11 июня 2014 года ходатайство заявителя и его представителя по доверенности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свое ходатайство и просила его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Карабекова К.С., не согласившись с доводами обращающейся стороны, считает оспариваемую норму соответствующей</w:t>
      </w:r>
      <w:hyperlink w:history="1" r:id="rIdzisral-hkde59vfdhsqrq">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и просит оставить ходатайство без удовлетворения.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мнение иного лица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puncdnbuj_x88zh6eiwd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часть 2 статьи 352 Уголовно-процессуального </w:t>
      </w:r>
      <w:hyperlink w:history="1" r:id="rIdtvyv_muunzj6bb7f5f33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следующего содержания:</w:t>
      </w:r>
    </w:p>
    <w:p>
      <w:pPr>
        <w:spacing w:after="120"/>
        <w:jc w:val="both"/>
      </w:pPr>
      <w:r>
        <w:rPr>
          <w:rFonts w:ascii="Arial" w:cs="Arial" w:eastAsia="Arial" w:hAnsi="Arial"/>
          <w:sz w:val="24"/>
          <w:szCs w:val="24"/>
        </w:rPr>
        <w:t xml:space="preserve">"Статья 352. Существенное нарушение уголовно-процессуального закона</w:t>
      </w:r>
    </w:p>
    <w:p>
      <w:pPr>
        <w:spacing w:after="120"/>
        <w:jc w:val="both"/>
      </w:pPr>
      <w:r>
        <w:rPr>
          <w:rFonts w:ascii="Arial" w:cs="Arial" w:eastAsia="Arial" w:hAnsi="Arial"/>
          <w:sz w:val="24"/>
          <w:szCs w:val="24"/>
        </w:rPr>
        <w:t xml:space="preserve">(2) Приговор подлежит отмене, если в результате судебного разбирательства, проведенного неполно и односторонне, остались невыясненными обстоятельства, установление которых могло иметь существенное значение при постановлении приговора.".</w:t>
      </w:r>
    </w:p>
    <w:p>
      <w:pPr>
        <w:spacing w:after="120"/>
        <w:jc w:val="both"/>
      </w:pPr>
      <w:r>
        <w:rPr>
          <w:rFonts w:ascii="Arial" w:cs="Arial" w:eastAsia="Arial" w:hAnsi="Arial"/>
          <w:sz w:val="24"/>
          <w:szCs w:val="24"/>
        </w:rPr>
        <w:t xml:space="preserve">Уголовно-процессуальный </w:t>
      </w:r>
      <w:hyperlink w:history="1" r:id="rIdlv3mrcgnkf5667lmfw0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 62 принят в порядке, установленном законодательством, введен в действие </w:t>
      </w:r>
      <w:hyperlink w:history="1" r:id="rIdtp-ng40mfojx1atdorrd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Уголовно-процессуального </w:t>
      </w:r>
      <w:hyperlink w:history="1" r:id="rIdhvwkcb_sgvmjsuuypmk1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июня 1999 года № 63, опубликован в газете "Эркин Тоо" от 21 июля 1999 года № 59-60-61-62,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частью 1 статьи 93 </w:t>
      </w:r>
      <w:hyperlink w:history="1" r:id="rIdiscpocxk89bwftzvoagd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правосудие осуществляется только судом. Тем самым </w:t>
      </w:r>
      <w:hyperlink w:history="1" r:id="rIdotac-vi2iocpkkhmjhbc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возлагая на суд исключительные полномочия по осуществлению правосудия, обеспечивает каждому право на судебную защиту (статья 40).</w:t>
      </w:r>
    </w:p>
    <w:p>
      <w:pPr>
        <w:spacing w:after="120"/>
        <w:jc w:val="both"/>
      </w:pPr>
      <w:r>
        <w:rPr>
          <w:rFonts w:ascii="Arial" w:cs="Arial" w:eastAsia="Arial" w:hAnsi="Arial"/>
          <w:sz w:val="24"/>
          <w:szCs w:val="24"/>
        </w:rPr>
        <w:t xml:space="preserve">По смыслу норм </w:t>
      </w:r>
      <w:hyperlink w:history="1" r:id="rIdp6-763mvioy8aqidhuji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 1, 16, 20, 40) в Кыргызской Республике, правовая система которой основана на принципе верховенства права как неотъемлемом элементе правового государства, право каждого на судебную защиту предполагает обеспечение всем субъектам права свободного и равного доступа к правосудию, осуществляемому независимым и беспристрастным судом на основе состязательности и равноправия сторон, а также охрану их прав и законных интересов, в том числе и от судебных ошибок.</w:t>
      </w:r>
    </w:p>
    <w:p>
      <w:pPr>
        <w:spacing w:after="120"/>
        <w:jc w:val="both"/>
      </w:pPr>
      <w:r>
        <w:rPr>
          <w:rFonts w:ascii="Arial" w:cs="Arial" w:eastAsia="Arial" w:hAnsi="Arial"/>
          <w:sz w:val="24"/>
          <w:szCs w:val="24"/>
        </w:rPr>
        <w:t xml:space="preserve">Обязанность государства обеспечить осуществление права на справедливую, компетентную и действенную судебную защиту вытекает также из являющихся составной частью правовой системы Кыргызской Республики Всеобщей </w:t>
      </w:r>
      <w:hyperlink w:history="1" r:id="rIdf2efsjgm5e1b9yqlv-xk-">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(статья 8), Международного </w:t>
      </w:r>
      <w:hyperlink w:history="1" r:id="rIdu0x1cegrhh4ftx-ykajfk">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(статья 2).</w:t>
      </w:r>
    </w:p>
    <w:p>
      <w:pPr>
        <w:spacing w:after="120"/>
        <w:jc w:val="both"/>
      </w:pPr>
      <w:r>
        <w:rPr>
          <w:rFonts w:ascii="Arial" w:cs="Arial" w:eastAsia="Arial" w:hAnsi="Arial"/>
          <w:sz w:val="24"/>
          <w:szCs w:val="24"/>
        </w:rPr>
        <w:t xml:space="preserve">Соответственно, исходя из того, что правосудие по самой своей сути может признаваться таковым лишь при условии, что оно отвечает требованиям справедливости и обеспечивает эффективную защиту конституционных прав и свобод, законодатель, устанавливая порядок его отправления, обязан установить механизм, который гарантировал бы вынесение правосудных, т.е. законных, обоснованных и справедливых судебных решений, в том числе предусмотреть процедуры, обеспечивающие право на повторное рассмотрение дела вышестоящим судом.</w:t>
      </w:r>
    </w:p>
    <w:p>
      <w:pPr>
        <w:spacing w:after="120"/>
        <w:jc w:val="both"/>
      </w:pPr>
      <w:r>
        <w:rPr>
          <w:rFonts w:ascii="Arial" w:cs="Arial" w:eastAsia="Arial" w:hAnsi="Arial"/>
          <w:sz w:val="24"/>
          <w:szCs w:val="24"/>
        </w:rPr>
        <w:t xml:space="preserve">3. В Кыргызской Республике судебная власть осуществляется посредством конституционного, гражданского, административного, уголовного и иных форм судопроизводства на основе общих для всех видов судопроизводства принципов правосудия, включая независимость судей, их подчинение только Конституции Кыргызской Республики и закону, состязательность и равноправие сторон - вне зависимости от природы и особенностей материальных правоотношений, определяющих предмет рассмотрения в каждом виде судопроизводства (часть 2 статьи 93, часть 1 статьи 94, часть 3 статьи 99 </w:t>
      </w:r>
      <w:hyperlink w:history="1" r:id="rIdujvw5iprkhbnx2paph_s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Применительно к уголовному судопроизводству это означает, что, разрешая дело, суд на основе исследованных в судебном заседании доказательств формулирует выводы об установленных фактах, о подлежащих применению в данном деле нормах права и, соответственно, об осуждении или оправдании лиц, в отношении которых велось уголовное преследование.</w:t>
      </w:r>
    </w:p>
    <w:p>
      <w:pPr>
        <w:spacing w:after="120"/>
        <w:jc w:val="both"/>
      </w:pPr>
      <w:r>
        <w:rPr>
          <w:rFonts w:ascii="Arial" w:cs="Arial" w:eastAsia="Arial" w:hAnsi="Arial"/>
          <w:sz w:val="24"/>
          <w:szCs w:val="24"/>
        </w:rPr>
        <w:t xml:space="preserve">В соответствие со своим процессуальным статусом, суд не только разрешает дело, но и, руководствуясь законом, принимает все необходимые меры к всестороннему, полному и объективному рассмотрению всех обстоятельств дела в их совокупности (статья 93 Уголовно-процессуального кодекса Кыргызской Республики).</w:t>
      </w:r>
    </w:p>
    <w:p>
      <w:pPr>
        <w:spacing w:after="120"/>
        <w:jc w:val="both"/>
      </w:pPr>
      <w:r>
        <w:rPr>
          <w:rFonts w:ascii="Arial" w:cs="Arial" w:eastAsia="Arial" w:hAnsi="Arial"/>
          <w:sz w:val="24"/>
          <w:szCs w:val="24"/>
        </w:rPr>
        <w:t xml:space="preserve">Всестороннее, полное и объективное исследование обстоятельств дела, как необходимое условие установления истины по уголовным делам осуществляется судом при неукоснительном соблюдении принципа состязательности и равноправия сторон.</w:t>
      </w:r>
    </w:p>
    <w:p>
      <w:pPr>
        <w:spacing w:after="120"/>
        <w:jc w:val="both"/>
      </w:pPr>
      <w:r>
        <w:rPr>
          <w:rFonts w:ascii="Arial" w:cs="Arial" w:eastAsia="Arial" w:hAnsi="Arial"/>
          <w:sz w:val="24"/>
          <w:szCs w:val="24"/>
        </w:rPr>
        <w:t xml:space="preserve">В соответствии со статьей 18 Уголовно-процессуального </w:t>
      </w:r>
      <w:hyperlink w:history="1" r:id="rIdr8pgovbitc15wrljjxzs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основными элементами принципа состязательности и равноправия сторон являются: 1) отделение функций обвинения и защиты и разрешения уголовного дела и осуществление их разными органами и должностными лицами; 2) наделение сторон обвинения и защиты равными процессуальными правами для осуществления своих функций; 3) обеспечение судом необходимых условий для исполнения сторонами их процессуальных обязанностей и осуществления предоставленных им прав, при этом суд не выступает на стороне обвинения или защиты и не выражает каких бы то ни было интересов, помимо интересов права.</w:t>
      </w:r>
    </w:p>
    <w:p>
      <w:pPr>
        <w:spacing w:after="120"/>
        <w:jc w:val="both"/>
      </w:pPr>
      <w:r>
        <w:rPr>
          <w:rFonts w:ascii="Arial" w:cs="Arial" w:eastAsia="Arial" w:hAnsi="Arial"/>
          <w:sz w:val="24"/>
          <w:szCs w:val="24"/>
        </w:rPr>
        <w:t xml:space="preserve">Именно такое построение судебного процесса обеспечивает полное и всестороннее исследование дела и правильное, справедливое его разрешение. Каждое доказательство проверяется, и каждое обстоятельство исследуется под углом зрения и обвинения и защиты; суд имеет возможность выяснить и взвесить все доводы и данные, как в пользу обвинения, так и в пользу обвиняемого (подсудимого).</w:t>
      </w:r>
    </w:p>
    <w:p>
      <w:pPr>
        <w:spacing w:after="120"/>
        <w:jc w:val="both"/>
      </w:pPr>
      <w:r>
        <w:rPr>
          <w:rFonts w:ascii="Arial" w:cs="Arial" w:eastAsia="Arial" w:hAnsi="Arial"/>
          <w:sz w:val="24"/>
          <w:szCs w:val="24"/>
        </w:rPr>
        <w:t xml:space="preserve">4. В правовой системе Кыргызской Республики институт пересмотра судебных актов по уголовным делам основан на положениях Конституции Кыргызской Республики (пункт 3 части 5 статьи 20, часть 1 статьи 27). В целях создания механизма исправления судебных ошибок законодатель предусмотрел в Уголовно-процессуальном </w:t>
      </w:r>
      <w:hyperlink w:history="1" r:id="rId1mt-qqfoaftlkdohi5x97">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процедуры пересмотра судебных решений: производство в суде второй инстанции - апелляционной, рассматривающей дела по жалобам на судебные акты, не вступившие в законную силу; пересмотр вступивших в законную силу судебных актов в кассационном порядке, порядке надзора и по новым и вновь открывшимся обстоятельствам.</w:t>
      </w:r>
    </w:p>
    <w:p>
      <w:pPr>
        <w:spacing w:after="120"/>
        <w:jc w:val="both"/>
      </w:pPr>
      <w:r>
        <w:rPr>
          <w:rFonts w:ascii="Arial" w:cs="Arial" w:eastAsia="Arial" w:hAnsi="Arial"/>
          <w:sz w:val="24"/>
          <w:szCs w:val="24"/>
        </w:rPr>
        <w:t xml:space="preserve">В соответствии со статьей 341 Уголовно-процессуального </w:t>
      </w:r>
      <w:hyperlink w:history="1" r:id="rIdwuyvo4k02zrhmeevygp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 апелляционной инстанции проверяет правильность установления фактических обстоятельств дела и применения уголовного закона, а также соблюдение при рассмотрении и разрешении дела норм уголовного процессуального закона. Суд апелляционной инстанции отменяет или изменяет приговор суда первой инстанции по основаниям, предусмотренным статьей 349 Уголовно-процессуального </w:t>
      </w:r>
      <w:hyperlink w:history="1" r:id="rIdt5i2nirgi4aginblwcs3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Одним из таких оснований являются существенные нарушения уголовно-процессуального закона (пункт 3 статьи 349 Уголовно-процессуального </w:t>
      </w:r>
      <w:hyperlink w:history="1" r:id="rIdyeanjw_kub7tj9a78kaf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сущность которых раскрывается в статье 352 Уголовно-процессуального </w:t>
      </w:r>
      <w:hyperlink w:history="1" r:id="rIdz1r1brhxuem1gautttwr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Так, согласно части 1 статьи 352 Уголовно-процессуального </w:t>
      </w:r>
      <w:hyperlink w:history="1" r:id="rId8odcri6mugt_xsru5bqf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существенными нарушениями уголовно-процессуального закона признаются нарушения норм Уголовно-процессуального </w:t>
      </w:r>
      <w:hyperlink w:history="1" r:id="rIdfec4hkzreedt93stovqp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расследовании дела, судебном разбирательстве,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правосудного приговора. В соответствии с оспариваемой частью 2 статьи 352 Уголовно-процессуального </w:t>
      </w:r>
      <w:hyperlink w:history="1" r:id="rId-zjsfa8_jkaw_twvjbk5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приговор подлежит отмене, если в результате судебного разбирательства, проведенного неполно и односторонне, остались невыясненными обстоятельства, установление которых могло иметь существенное значение при постановлении приговора.</w:t>
      </w:r>
    </w:p>
    <w:p>
      <w:pPr>
        <w:spacing w:after="120"/>
        <w:jc w:val="both"/>
      </w:pPr>
      <w:r>
        <w:rPr>
          <w:rFonts w:ascii="Arial" w:cs="Arial" w:eastAsia="Arial" w:hAnsi="Arial"/>
          <w:sz w:val="24"/>
          <w:szCs w:val="24"/>
        </w:rPr>
        <w:t xml:space="preserve">Конституционное право каждого на судебную защиту подразумевает создание государством необходимых условий для эффективного и справедливого разбирательства дела, прежде всего в суде первой инстанции. В соответствии с частью 2 статьи 19 Уголовно-процессуального </w:t>
      </w:r>
      <w:hyperlink w:history="1" r:id="rIdqhjdr2n7e5vj7c6gnpzt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 обеспечивает сторонам обвинения и защиты необходимые условия для реализации их прав на полное исследование обстоятельств дела и выносит решение по делу лишь на основе достоверных доказательств. Следовательно, законодатель обязан предусмотреть такие процессуальные механизмы, которые бы в полной мере обеспечивали условия для вынесения судом правосудного, т.е. законного, обоснованного и справедливого решения по делу. В этой связи, основания к отмене приговора суда первой инстанции, определяемые оспариваемым нормативным положением, необходимо рассматривать в системной связи с другими нормами уголовно-процессуального закона, в частности, с правилами производства в суде первой инстанции (раздел VIII Уголовно-процессуального кодекса Кыргызской Республики). В случаях, когда предусмотренные уголовно-процессуальным законом процедуры не задействованы судом первой инстанции в необходимом объеме, позволяющем полно и всесторонне исследовать обстоятельства дела, суд апелляционной инстанции вправе поставить под сомнение законность и обоснованность вынесенного по делу судебного решения.</w:t>
      </w:r>
    </w:p>
    <w:p>
      <w:pPr>
        <w:spacing w:after="120"/>
        <w:jc w:val="both"/>
      </w:pPr>
      <w:r>
        <w:rPr>
          <w:rFonts w:ascii="Arial" w:cs="Arial" w:eastAsia="Arial" w:hAnsi="Arial"/>
          <w:sz w:val="24"/>
          <w:szCs w:val="24"/>
        </w:rPr>
        <w:t xml:space="preserve">Следовательно, положения части 2 статьи 352 Уголовно-процессуального </w:t>
      </w:r>
      <w:hyperlink w:history="1" r:id="rIduy3ybmdmr9ybk9awxa3s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рассматриваемые в системе действующего правового регулирования, позволяют устранить существенные нарушения уголовно-процессуального закона, допущенные судом первой инстанции. Тем самым оспариваемое нормативное положение направлено на обеспечение конституционного права на судебную защиту, включая право на повторное рассмотрение дела вышестоящим судом. При этом, применение судом апелляционной инстанции оспариваемой на предмет конституционности нормы не препятствует реализации участниками судопроизводства принадлежащих им процессуальных прав. Оспариваемая норма, устанавливает основания отмены приговора суда первой инстанции и по своей правовой сущности не нарушает принципов состязательности и равноправия сторон. С этой точки зрения и в свете доводов, приводимых в разделе 3 настоящего Решения, требования заявителей о признании оспариваемой нормы противоречащей части 3 статьи 16, части 3 статьи 19 </w:t>
      </w:r>
      <w:hyperlink w:history="1" r:id="rIdkqa0b-syfss9gtwnpkfm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являются несостоятельными.</w:t>
      </w:r>
    </w:p>
    <w:p>
      <w:pPr>
        <w:spacing w:after="120"/>
        <w:jc w:val="both"/>
      </w:pPr>
      <w:r>
        <w:rPr>
          <w:rFonts w:ascii="Arial" w:cs="Arial" w:eastAsia="Arial" w:hAnsi="Arial"/>
          <w:sz w:val="24"/>
          <w:szCs w:val="24"/>
        </w:rPr>
        <w:t xml:space="preserve">Относительно доводов обращающейся стороны о несоответствии оспариваемой нормы международным стандартам справедливого и беспристрастного правосудия, следует отметить, что реализация судом апелляционной инстанции своих полномочий связанных с применением процессуально-правовых последствий относительно приговоров суда первой инстанции, в частности применение оспариваемой нормы в качестве основания к отмене приговора, не может рассматриваться как вмешательство суда в функцию обвинения или защиты. Также оспариваемая норма не освобождает суд от обязанности сохранять объективность и беспристрастность при рассмотрении дела и не препятствует вынесению правосудного решения по делу при соблюдении процедуры, гарантирующей реализацию процессуальных прав участников судопроизводства.</w:t>
      </w:r>
    </w:p>
    <w:p>
      <w:pPr>
        <w:spacing w:after="120"/>
        <w:jc w:val="both"/>
      </w:pPr>
      <w:r>
        <w:rPr>
          <w:rFonts w:ascii="Arial" w:cs="Arial" w:eastAsia="Arial" w:hAnsi="Arial"/>
          <w:sz w:val="24"/>
          <w:szCs w:val="24"/>
        </w:rPr>
        <w:t xml:space="preserve">5. В отношении доводов обращающейся стороны о применении оспариваемой нормы Верховным судом Кыргызской Республики, озвученных в ходе заседания по рассматриваемому делу, необходимо отметить, что законность и обоснованность судебных решений, вынесенных нижестоящими инстанциями, являются также предметом проверки суда кассационной и надзорной инстанций. Производство в суде кассационной и надзорной инстанций предназначено для исправления судебных актов, вступивших в законную силу, и выступает в качестве дополнительной гарантии законности судебных актов. Акт суда, который уже вступил в законную силу, может быть изменен или отменен в исключительных случаях, когда в результате судебной ошибки, допущенной в ходе предыдущего судебного разбирательства и предопределившей исход дела, существенно нарушены права и законные интересы, которые не могут быть восстановлены без отмены или изменения ошибочного судебного акта.</w:t>
      </w:r>
    </w:p>
    <w:p>
      <w:pPr>
        <w:spacing w:after="120"/>
        <w:jc w:val="both"/>
      </w:pPr>
      <w:r>
        <w:rPr>
          <w:rFonts w:ascii="Arial" w:cs="Arial" w:eastAsia="Arial" w:hAnsi="Arial"/>
          <w:sz w:val="24"/>
          <w:szCs w:val="24"/>
        </w:rPr>
        <w:t xml:space="preserve">6. В соответствии с </w:t>
      </w:r>
      <w:hyperlink w:history="1" r:id="rIdxyar6zc-ccjrheeacv9u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правовыми позициями Конституционной палаты, выраженными в решениях от 22 ноября 2013 года по обращению Шигаевой Д.У., от 27 декабря 2013 года по обращению Миронова А.М. и других, от 12 февраля 2014 года по обращению Алиева Ж., от 31 октября 2014 года по обращению Кочкорбаевой А.М., вытекает необходимость более четкого законодательного определения условий отмены и изменения вступивших в законную силу судебных актов, недостаточная правовая регламентация которых нарушает принцип правовой определенности, включая признание законной силы судебных решений, их неопровержимости, исполнимости, а также стабильности правовых отношений и правового статуса участников правоотношений, установленных вступившими в законную силу судебными актами.</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частями 8, 9 статьи 97 </w:t>
      </w:r>
      <w:hyperlink w:history="1" r:id="rIdq4bung2vvg36jsgi3qbl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52 конституционного </w:t>
      </w:r>
      <w:hyperlink w:history="1" r:id="rIdyqw0hbhz_foibauoccu3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2 статьи 352 Уголовно-процессуального </w:t>
      </w:r>
      <w:hyperlink w:history="1" r:id="rIdtqo4-7hvxuqdrauhmcnd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противоречащей части 3 статьи 16, части 2 статьи 26, части 3 статьи 99 </w:t>
      </w:r>
      <w:hyperlink w:history="1" r:id="rIdqw28rod2hz8t3imzankm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33vrjxmdr2tt2cwkk9rg" Type="http://schemas.openxmlformats.org/officeDocument/2006/relationships/hyperlink" Target="http://kodeks.duckdns.org/document/111530" TargetMode="External"/><Relationship Id="rId_xo2kvtpdrab8g1isgsm-" Type="http://schemas.openxmlformats.org/officeDocument/2006/relationships/hyperlink" Target="http://kodeks.duckdns.org/document/202913" TargetMode="External"/><Relationship Id="rIdfsnnptzzfv-fevltn7mwo" Type="http://schemas.openxmlformats.org/officeDocument/2006/relationships/hyperlink" Target="http://kodeks.duckdns.org/document/203281" TargetMode="External"/><Relationship Id="rIdesitp66frol_7rhrs48wo" Type="http://schemas.openxmlformats.org/officeDocument/2006/relationships/hyperlink" Target="http://kodeks.duckdns.org/document/111530" TargetMode="External"/><Relationship Id="rIdlz4vml1mjqubj7hfskknu" Type="http://schemas.openxmlformats.org/officeDocument/2006/relationships/hyperlink" Target="http://kodeks.duckdns.org/document/202913" TargetMode="External"/><Relationship Id="rId4jionqa4iushqmgkhayhb" Type="http://schemas.openxmlformats.org/officeDocument/2006/relationships/hyperlink" Target="http://kodeks.duckdns.org/document/111530" TargetMode="External"/><Relationship Id="rIdndocesiqm8jvuxibmqqpu" Type="http://schemas.openxmlformats.org/officeDocument/2006/relationships/hyperlink" Target="http://kodeks.duckdns.org/document/111530" TargetMode="External"/><Relationship Id="rIdlfob_bxtvs2nizgrhgb1t" Type="http://schemas.openxmlformats.org/officeDocument/2006/relationships/hyperlink" Target="http://kodeks.duckdns.org/document/202913" TargetMode="External"/><Relationship Id="rIdtl4hfpoxty49actgy_0md" Type="http://schemas.openxmlformats.org/officeDocument/2006/relationships/hyperlink" Target="http://kodeks.duckdns.org/document/568" TargetMode="External"/><Relationship Id="rIdtv2jfhn_hu3cvbctoihf5" Type="http://schemas.openxmlformats.org/officeDocument/2006/relationships/hyperlink" Target="http://kodeks.duckdns.org/document/111530" TargetMode="External"/><Relationship Id="rIdllicmgz6vlorggvothuki" Type="http://schemas.openxmlformats.org/officeDocument/2006/relationships/hyperlink" Target="http://kodeks.duckdns.org/document/111530" TargetMode="External"/><Relationship Id="rIdcdz02nr1uehlytikekool" Type="http://schemas.openxmlformats.org/officeDocument/2006/relationships/hyperlink" Target="http://kodeks.duckdns.org/document/202913" TargetMode="External"/><Relationship Id="rIdwhjcjqrxvjw5axizmebyx" Type="http://schemas.openxmlformats.org/officeDocument/2006/relationships/hyperlink" Target="http://kodeks.duckdns.org/document/111530" TargetMode="External"/><Relationship Id="rIdzisral-hkde59vfdhsqrq" Type="http://schemas.openxmlformats.org/officeDocument/2006/relationships/hyperlink" Target="http://kodeks.duckdns.org/document/202913" TargetMode="External"/><Relationship Id="rIdpuncdnbuj_x88zh6eiwdo" Type="http://schemas.openxmlformats.org/officeDocument/2006/relationships/hyperlink" Target="http://kodeks.duckdns.org/document/203281" TargetMode="External"/><Relationship Id="rIdtvyv_muunzj6bb7f5f33d" Type="http://schemas.openxmlformats.org/officeDocument/2006/relationships/hyperlink" Target="http://kodeks.duckdns.org/document/111530" TargetMode="External"/><Relationship Id="rIdlv3mrcgnkf5667lmfw0x-" Type="http://schemas.openxmlformats.org/officeDocument/2006/relationships/hyperlink" Target="http://kodeks.duckdns.org/document/111530" TargetMode="External"/><Relationship Id="rIdtp-ng40mfojx1atdorrdf" Type="http://schemas.openxmlformats.org/officeDocument/2006/relationships/hyperlink" Target="http://kodeks.duckdns.org/document/227" TargetMode="External"/><Relationship Id="rIdhvwkcb_sgvmjsuuypmk1l" Type="http://schemas.openxmlformats.org/officeDocument/2006/relationships/hyperlink" Target="http://kodeks.duckdns.org/document/111530" TargetMode="External"/><Relationship Id="rIdiscpocxk89bwftzvoagd4" Type="http://schemas.openxmlformats.org/officeDocument/2006/relationships/hyperlink" Target="http://kodeks.duckdns.org/document/202913" TargetMode="External"/><Relationship Id="rIdotac-vi2iocpkkhmjhbcs" Type="http://schemas.openxmlformats.org/officeDocument/2006/relationships/hyperlink" Target="http://kodeks.duckdns.org/document/202913" TargetMode="External"/><Relationship Id="rIdp6-763mvioy8aqidhujiq" Type="http://schemas.openxmlformats.org/officeDocument/2006/relationships/hyperlink" Target="http://kodeks.duckdns.org/document/202913" TargetMode="External"/><Relationship Id="rIdf2efsjgm5e1b9yqlv-xk-" Type="http://schemas.openxmlformats.org/officeDocument/2006/relationships/hyperlink" Target="http://kodeks.duckdns.org/document/17534" TargetMode="External"/><Relationship Id="rIdu0x1cegrhh4ftx-ykajfk" Type="http://schemas.openxmlformats.org/officeDocument/2006/relationships/hyperlink" Target="http://kodeks.duckdns.org/document/17581" TargetMode="External"/><Relationship Id="rIdujvw5iprkhbnx2paph_sd" Type="http://schemas.openxmlformats.org/officeDocument/2006/relationships/hyperlink" Target="http://kodeks.duckdns.org/document/202913" TargetMode="External"/><Relationship Id="rIdr8pgovbitc15wrljjxzse" Type="http://schemas.openxmlformats.org/officeDocument/2006/relationships/hyperlink" Target="http://kodeks.duckdns.org/document/111530" TargetMode="External"/><Relationship Id="rId1mt-qqfoaftlkdohi5x97" Type="http://schemas.openxmlformats.org/officeDocument/2006/relationships/hyperlink" Target="http://kodeks.duckdns.org/document/111530" TargetMode="External"/><Relationship Id="rIdwuyvo4k02zrhmeevygpro" Type="http://schemas.openxmlformats.org/officeDocument/2006/relationships/hyperlink" Target="http://kodeks.duckdns.org/document/111530" TargetMode="External"/><Relationship Id="rIdt5i2nirgi4aginblwcs39" Type="http://schemas.openxmlformats.org/officeDocument/2006/relationships/hyperlink" Target="http://kodeks.duckdns.org/document/11530" TargetMode="External"/><Relationship Id="rIdyeanjw_kub7tj9a78kafc" Type="http://schemas.openxmlformats.org/officeDocument/2006/relationships/hyperlink" Target="http://kodeks.duckdns.org/document/111530" TargetMode="External"/><Relationship Id="rIdz1r1brhxuem1gautttwrl" Type="http://schemas.openxmlformats.org/officeDocument/2006/relationships/hyperlink" Target="http://kodeks.duckdns.org/document/111530" TargetMode="External"/><Relationship Id="rId8odcri6mugt_xsru5bqfq" Type="http://schemas.openxmlformats.org/officeDocument/2006/relationships/hyperlink" Target="http://kodeks.duckdns.org/document/111530" TargetMode="External"/><Relationship Id="rIdfec4hkzreedt93stovqpx" Type="http://schemas.openxmlformats.org/officeDocument/2006/relationships/hyperlink" Target="http://kodeks.duckdns.org/document/111530" TargetMode="External"/><Relationship Id="rId-zjsfa8_jkaw_twvjbk5o" Type="http://schemas.openxmlformats.org/officeDocument/2006/relationships/hyperlink" Target="http://kodeks.duckdns.org/document/111530" TargetMode="External"/><Relationship Id="rIdqhjdr2n7e5vj7c6gnpztm" Type="http://schemas.openxmlformats.org/officeDocument/2006/relationships/hyperlink" Target="http://kodeks.duckdns.org/document/111530" TargetMode="External"/><Relationship Id="rIduy3ybmdmr9ybk9awxa3sn" Type="http://schemas.openxmlformats.org/officeDocument/2006/relationships/hyperlink" Target="http://kodeks.duckdns.org/document/111530" TargetMode="External"/><Relationship Id="rIdkqa0b-syfss9gtwnpkfm_" Type="http://schemas.openxmlformats.org/officeDocument/2006/relationships/hyperlink" Target="http://kodeks.duckdns.org/document/202913" TargetMode="External"/><Relationship Id="rIdxyar6zc-ccjrheeacv9uz" Type="http://schemas.openxmlformats.org/officeDocument/2006/relationships/hyperlink" Target="http://kodeks.duckdns.org/document/202913" TargetMode="External"/><Relationship Id="rIdq4bung2vvg36jsgi3qblt" Type="http://schemas.openxmlformats.org/officeDocument/2006/relationships/hyperlink" Target="http://kodeks.duckdns.org/document/202913" TargetMode="External"/><Relationship Id="rIdyqw0hbhz_foibauoccu3n" Type="http://schemas.openxmlformats.org/officeDocument/2006/relationships/hyperlink" Target="http://kodeks.duckdns.org/document/203281" TargetMode="External"/><Relationship Id="rIdtqo4-7hvxuqdrauhmcndb" Type="http://schemas.openxmlformats.org/officeDocument/2006/relationships/hyperlink" Target="http://kodeks.duckdns.org/document/111530" TargetMode="External"/><Relationship Id="rIdqw28rod2hz8t3imzankm2"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2026-09-23T00:23:00.940Z</dcterms:created>
  <dcterms:modified xsi:type="dcterms:W3CDTF">2026-09-23T00:23:00.940Z</dcterms:modified>
</cp:coreProperties>
</file>

<file path=docProps/custom.xml><?xml version="1.0" encoding="utf-8"?>
<Properties xmlns="http://schemas.openxmlformats.org/officeDocument/2006/custom-properties" xmlns:vt="http://schemas.openxmlformats.org/officeDocument/2006/docPropsVTypes"/>
</file>