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постановлением Правительства КР
 от </w:t>
      </w:r>
      <w:hyperlink w:history="1" r:id="rIdytrbekj-cq1a19jrmekb1">
        <w:r>
          <w:rPr>
            <w:rFonts w:ascii="Arial" w:cs="Arial" w:eastAsia="Arial" w:hAnsi="Arial"/>
            <w:color w:val="1D4ED8"/>
            <w:sz w:val="24"/>
            <w:szCs w:val="24"/>
            <w:u w:val="single"/>
          </w:rPr>
          <w:t xml:space="preserve">25 сентября 2012 года № 638</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15 декабря 2009 года № 754</w:t>
      </w:r>
    </w:p>
    <w:p>
      <w:pPr>
        <w:spacing w:after="120"/>
        <w:jc w:val="both"/>
      </w:pPr>
      <w:r>
        <w:rPr>
          <w:rFonts w:ascii="Arial" w:cs="Arial" w:eastAsia="Arial" w:hAnsi="Arial"/>
          <w:sz w:val="24"/>
          <w:szCs w:val="24"/>
        </w:rPr>
        <w:t xml:space="preserve">О проекте Закона Кыргызской Республики «Общий технический регламент «Требования к безопасности пищевых продуктов и процессов их производства, хранение, перевозки, реализации и утилизации»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64 </w:t>
      </w:r>
      <w:hyperlink w:history="1" r:id="rIddt7hyf9jmv23kfwm3qd-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eze0ymmxgh93j3zgpgwez">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«Общий технический регламент «Требования к безопасности пищевых продуктов и процессов их производства, хранение, перевозки, реализации и утилизации».</w:t>
      </w:r>
    </w:p>
    <w:p>
      <w:pPr>
        <w:spacing w:after="120"/>
        <w:jc w:val="both"/>
      </w:pPr>
      <w:r>
        <w:rPr>
          <w:rFonts w:ascii="Arial" w:cs="Arial" w:eastAsia="Arial" w:hAnsi="Arial"/>
          <w:sz w:val="24"/>
          <w:szCs w:val="24"/>
        </w:rPr>
        <w:t xml:space="preserve">2. Направить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Главного государственного санитарного врача Кыргызской Республики, заместителя министра здравоохранения Кыргызской Республики официальным представительством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 Усенов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Общий технический регламент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безопасности пищевых продуктов и процессов их производства, хранения, перевозки,
 реализации и утилизации»</w:t>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Статья 1. Цели общего технического регламента Статья 2. Сфера применения технического регламента Статья 3. Объекты технического регулирования Статья 4. Основные понятия Статья 5. Обязанности физических и юридических лиц, занятых в области производства и обращения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Гигиена производства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Требования к безопасности производства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Требования, обеспечивающие безопасность пищевых продуктов в процессе их производства, хранения, перевозка реализации и утилизации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Общие требования безопасности продовольственного сырья, пищевых продуктов в процессе их производства, хранения, перевозки и реализации и утилизации Статья 8. Требования к пищевым добавкам Статья 9. Требования к продуктам диетического (лечебного профилактического) питания Статья 10. Требования к специализирующим тонизирующим продуктам Статья 11. Требования к обогащенным пищевым продуктам Статья 12. Требования к безопасности пищевых продуктов, полученных из генно-инженерно-модифицированных растений или животных</w:t>
      </w:r>
    </w:p>
    <w:p>
      <w:pPr>
        <w:spacing w:after="120"/>
        <w:jc w:val="both"/>
      </w:pPr>
      <w:r>
        <w:rPr>
          <w:rFonts w:ascii="Arial" w:cs="Arial" w:eastAsia="Arial" w:hAnsi="Arial"/>
          <w:sz w:val="24"/>
          <w:szCs w:val="24"/>
        </w:rPr>
        <w:t xml:space="preserve">Глава 4. Оценки соответствия пищевых продуктов в процессе их производства, хранения, перевозки, реализации и утилизации требованиям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Формы оценки соответствия пищевых продуктов в процессе их производства, хранения, перевозки, реализации и утилизации требованиям настоящего технического регламента Статья 14. Идентификация пищевых продуктов Статья 15. Регистрация пищевых продуктов Статья 16. Государственный надзор за соблюдением требований настоящего технического регламента Статья 17. Контроль Статья 18. Знак соответствия техническим регламентам</w:t>
      </w:r>
    </w:p>
    <w:p>
      <w:pPr>
        <w:spacing w:after="120"/>
        <w:jc w:val="both"/>
      </w:pPr>
      <w:r>
        <w:rPr>
          <w:rFonts w:ascii="Arial" w:cs="Arial" w:eastAsia="Arial" w:hAnsi="Arial"/>
          <w:sz w:val="24"/>
          <w:szCs w:val="24"/>
        </w:rPr>
        <w:t xml:space="preserve">Глава 5. Ответственность за нарушение требований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Ответственность за нарушение требований настоящего технического регламента</w:t>
      </w:r>
    </w:p>
    <w:p>
      <w:pPr>
        <w:spacing w:after="120"/>
        <w:jc w:val="both"/>
      </w:pPr>
      <w:r>
        <w:rPr>
          <w:rFonts w:ascii="Arial" w:cs="Arial" w:eastAsia="Arial" w:hAnsi="Arial"/>
          <w:sz w:val="24"/>
          <w:szCs w:val="24"/>
        </w:rPr>
        <w:t xml:space="preserve">Глава 6. 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Переходные положения</w:t>
      </w:r>
    </w:p>
    <w:p>
      <w:pPr>
        <w:spacing w:after="120"/>
        <w:jc w:val="both"/>
      </w:pPr>
      <w:r>
        <w:rPr>
          <w:rFonts w:ascii="Arial" w:cs="Arial" w:eastAsia="Arial" w:hAnsi="Arial"/>
          <w:sz w:val="24"/>
          <w:szCs w:val="24"/>
        </w:rPr>
        <w:t xml:space="preserve">Статья 21. Приведение нормативно правовых актов в соответствие с настоящим техническим регламентом</w:t>
      </w:r>
    </w:p>
    <w:p>
      <w:pPr>
        <w:spacing w:after="120"/>
        <w:jc w:val="both"/>
      </w:pPr>
      <w:r>
        <w:rPr>
          <w:rFonts w:ascii="Arial" w:cs="Arial" w:eastAsia="Arial" w:hAnsi="Arial"/>
          <w:sz w:val="24"/>
          <w:szCs w:val="24"/>
        </w:rPr>
        <w:t xml:space="preserve">Статья 22. Вступления в силу требований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Требования к безопасности продовольственного сырья и пищевых продуктов.</w:t>
      </w:r>
    </w:p>
    <w:p>
      <w:pPr>
        <w:spacing w:after="120"/>
        <w:jc w:val="both"/>
      </w:pPr>
      <w:r>
        <w:rPr>
          <w:rFonts w:ascii="Arial" w:cs="Arial" w:eastAsia="Arial" w:hAnsi="Arial"/>
          <w:sz w:val="24"/>
          <w:szCs w:val="24"/>
        </w:rPr>
        <w:t xml:space="preserve">2. Максимальные уровни остатков ветеринарных (зоотехнических) препаратов пищевых продуктах животного происхождения.</w:t>
      </w:r>
    </w:p>
    <w:p>
      <w:pPr>
        <w:spacing w:after="120"/>
        <w:jc w:val="both"/>
      </w:pPr>
      <w:r>
        <w:rPr>
          <w:rFonts w:ascii="Arial" w:cs="Arial" w:eastAsia="Arial" w:hAnsi="Arial"/>
          <w:sz w:val="24"/>
          <w:szCs w:val="24"/>
        </w:rPr>
        <w:t xml:space="preserve">3. Требования к безопасности и пищевой ценности продуктов детского питания.</w:t>
      </w:r>
    </w:p>
    <w:p>
      <w:pPr>
        <w:spacing w:after="120"/>
        <w:jc w:val="both"/>
      </w:pPr>
      <w:r>
        <w:rPr>
          <w:rFonts w:ascii="Arial" w:cs="Arial" w:eastAsia="Arial" w:hAnsi="Arial"/>
          <w:sz w:val="24"/>
          <w:szCs w:val="24"/>
        </w:rPr>
        <w:t xml:space="preserve">4. Паразитологические показатели безопасности рыбы, ракообразных, моллюсков, земноводных, пресмыкающихся и продуктов их переработки.</w:t>
      </w:r>
    </w:p>
    <w:p>
      <w:pPr>
        <w:spacing w:after="120"/>
        <w:jc w:val="both"/>
      </w:pPr>
      <w:r>
        <w:rPr>
          <w:rFonts w:ascii="Arial" w:cs="Arial" w:eastAsia="Arial" w:hAnsi="Arial"/>
          <w:sz w:val="24"/>
          <w:szCs w:val="24"/>
        </w:rPr>
        <w:t xml:space="preserve">5. Рекомендуемые величины суточного потребления пищевых и биологически активных веществ для взрослых в составе продуктов диетического (лечебного и профилактического) питания и биологически активных добавок (БАД) к пище.</w:t>
      </w:r>
    </w:p>
    <w:p>
      <w:pPr>
        <w:spacing w:after="120"/>
        <w:jc w:val="both"/>
      </w:pPr>
      <w:r>
        <w:rPr>
          <w:rFonts w:ascii="Arial" w:cs="Arial" w:eastAsia="Arial" w:hAnsi="Arial"/>
          <w:sz w:val="24"/>
          <w:szCs w:val="24"/>
        </w:rPr>
        <w:t xml:space="preserve">6. Формы витаминов и минеральных соли, разрешенных для использования при производстве продуктов диетического (лечебного и профилактического) питания.</w:t>
      </w:r>
    </w:p>
    <w:p>
      <w:pPr>
        <w:spacing w:after="120"/>
        <w:jc w:val="both"/>
      </w:pPr>
      <w:r>
        <w:rPr>
          <w:rFonts w:ascii="Arial" w:cs="Arial" w:eastAsia="Arial" w:hAnsi="Arial"/>
          <w:sz w:val="24"/>
          <w:szCs w:val="24"/>
        </w:rPr>
        <w:t xml:space="preserve">7. Требования к безопасности консервированных пищевых продуктов.</w:t>
      </w:r>
    </w:p>
    <w:p>
      <w:pPr>
        <w:spacing w:after="120"/>
        <w:jc w:val="both"/>
      </w:pPr>
      <w:r>
        <w:rPr>
          <w:rFonts w:ascii="Arial" w:cs="Arial" w:eastAsia="Arial" w:hAnsi="Arial"/>
          <w:sz w:val="24"/>
          <w:szCs w:val="24"/>
        </w:rPr>
        <w:t xml:space="preserve">8. Условия, сроки годности скоропортящихся продуктов при температуре (4±2) ͦ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Статья 1. Цели закона</w:t>
      </w:r>
    </w:p>
    <w:p>
      <w:pPr>
        <w:spacing w:after="120"/>
        <w:jc w:val="both"/>
      </w:pPr>
      <w:r>
        <w:rPr>
          <w:rFonts w:ascii="Arial" w:cs="Arial" w:eastAsia="Arial" w:hAnsi="Arial"/>
          <w:sz w:val="24"/>
          <w:szCs w:val="24"/>
        </w:rPr>
        <w:t xml:space="preserve">1. Настоящий закон (далее – технический регламент) применяется в целях обеспечения защиты жизни и здоровья людей, животных, растений, окружающей среды от воздействия опасных и вредных факторов возникающих в процессе производства и обращения продовольственного сырья и продуктов, и предупреждении действий, вводящих в заблуждение потребителей.</w:t>
      </w:r>
    </w:p>
    <w:p>
      <w:pPr>
        <w:spacing w:after="120"/>
        <w:jc w:val="both"/>
      </w:pPr>
      <w:r>
        <w:rPr>
          <w:rFonts w:ascii="Arial" w:cs="Arial" w:eastAsia="Arial" w:hAnsi="Arial"/>
          <w:sz w:val="24"/>
          <w:szCs w:val="24"/>
        </w:rPr>
        <w:t xml:space="preserve">2. Данный технический регламент определяет обязательные требования для любых видов пищевой продукции, сырья и регулирует вопросы биологической, химической, радиационной и экологической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Сфера применения технического регламента</w:t>
      </w:r>
    </w:p>
    <w:p>
      <w:pPr>
        <w:spacing w:after="120"/>
        <w:jc w:val="both"/>
      </w:pPr>
      <w:r>
        <w:rPr>
          <w:rFonts w:ascii="Arial" w:cs="Arial" w:eastAsia="Arial" w:hAnsi="Arial"/>
          <w:sz w:val="24"/>
          <w:szCs w:val="24"/>
        </w:rPr>
        <w:t xml:space="preserve">1. Настоящий технический регламент устанавливает обязательные требования безопасности к продовольственному сырью, пищевым продуктам в процессе их производства, хранения, перевозки, реализации и утилизации.</w:t>
      </w:r>
    </w:p>
    <w:p>
      <w:pPr>
        <w:spacing w:after="120"/>
        <w:jc w:val="both"/>
      </w:pPr>
      <w:r>
        <w:rPr>
          <w:rFonts w:ascii="Arial" w:cs="Arial" w:eastAsia="Arial" w:hAnsi="Arial"/>
          <w:sz w:val="24"/>
          <w:szCs w:val="24"/>
        </w:rPr>
        <w:t xml:space="preserve">2. Настоящий технический регламент регулирует отношения возникающие при обращении продукции на территории Кыргызской Республики, по оценке соответствия продовольственного сырья, пищевых продуктов требованиям технических регламентов и осуществлении государственного надзора.</w:t>
      </w:r>
    </w:p>
    <w:p>
      <w:pPr>
        <w:spacing w:after="120"/>
        <w:jc w:val="both"/>
      </w:pPr>
      <w:r>
        <w:rPr>
          <w:rFonts w:ascii="Arial" w:cs="Arial" w:eastAsia="Arial" w:hAnsi="Arial"/>
          <w:sz w:val="24"/>
          <w:szCs w:val="24"/>
        </w:rPr>
        <w:t xml:space="preserve">3. Настоящий технический регламент регулирует отношения возникающих на стадии переработки и распределении пищевых продуктов, материалов, контактирующих с пищевыми продуктами, при маркировке, упаковке пищевых продуктов.</w:t>
      </w:r>
    </w:p>
    <w:p>
      <w:pPr>
        <w:spacing w:after="120"/>
        <w:jc w:val="both"/>
      </w:pPr>
      <w:r>
        <w:rPr>
          <w:rFonts w:ascii="Arial" w:cs="Arial" w:eastAsia="Arial" w:hAnsi="Arial"/>
          <w:sz w:val="24"/>
          <w:szCs w:val="24"/>
        </w:rPr>
        <w:t xml:space="preserve">4. Требования настоящего технического регламента должны быть учтены при разработке специальных технических регламентов на отдельные виды пищевых продуктов.</w:t>
      </w:r>
    </w:p>
    <w:p>
      <w:pPr>
        <w:spacing w:after="120"/>
        <w:jc w:val="both"/>
      </w:pPr>
      <w:r>
        <w:rPr>
          <w:rFonts w:ascii="Arial" w:cs="Arial" w:eastAsia="Arial" w:hAnsi="Arial"/>
          <w:sz w:val="24"/>
          <w:szCs w:val="24"/>
        </w:rPr>
        <w:t xml:space="preserve">5. Настоящий технический регламент содержит общие требования к производству пищевой продукции, ее упаковке, маркировке, хранению, транспортированию, реализации, утилизации и материалам, контактирующих с ними.</w:t>
      </w:r>
    </w:p>
    <w:p>
      <w:pPr>
        <w:spacing w:after="120"/>
        <w:jc w:val="both"/>
      </w:pPr>
      <w:r>
        <w:rPr>
          <w:rFonts w:ascii="Arial" w:cs="Arial" w:eastAsia="Arial" w:hAnsi="Arial"/>
          <w:sz w:val="24"/>
          <w:szCs w:val="24"/>
        </w:rPr>
        <w:t xml:space="preserve">Специальные требования к маркировке и упаковке устанавливают в специальных технических регламентах.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Объекты технического регулирования</w:t>
      </w:r>
    </w:p>
    <w:p>
      <w:pPr>
        <w:spacing w:after="120"/>
        <w:jc w:val="both"/>
      </w:pPr>
      <w:r>
        <w:rPr>
          <w:rFonts w:ascii="Arial" w:cs="Arial" w:eastAsia="Arial" w:hAnsi="Arial"/>
          <w:sz w:val="24"/>
          <w:szCs w:val="24"/>
        </w:rPr>
        <w:t xml:space="preserve">1. К объектам технического регулирования настоящего технического регламента относятся продовольственное сырье, пищевые продукты в процессе их производства, хранения, перевозки реализации и утилизации:</w:t>
      </w:r>
    </w:p>
    <w:p>
      <w:pPr>
        <w:spacing w:after="120"/>
        <w:jc w:val="both"/>
      </w:pPr>
      <w:r>
        <w:rPr>
          <w:rFonts w:ascii="Arial" w:cs="Arial" w:eastAsia="Arial" w:hAnsi="Arial"/>
          <w:sz w:val="24"/>
          <w:szCs w:val="24"/>
        </w:rPr>
        <w:t xml:space="preserve">- мясо и мясопродукты, птица, яйца и продукты их переработки;</w:t>
      </w:r>
    </w:p>
    <w:p>
      <w:pPr>
        <w:spacing w:after="120"/>
        <w:jc w:val="both"/>
      </w:pPr>
      <w:r>
        <w:rPr>
          <w:rFonts w:ascii="Arial" w:cs="Arial" w:eastAsia="Arial" w:hAnsi="Arial"/>
          <w:sz w:val="24"/>
          <w:szCs w:val="24"/>
        </w:rPr>
        <w:t xml:space="preserve">- молоко и молочные продукты;</w:t>
      </w:r>
    </w:p>
    <w:p>
      <w:pPr>
        <w:spacing w:after="120"/>
        <w:jc w:val="both"/>
      </w:pPr>
      <w:r>
        <w:rPr>
          <w:rFonts w:ascii="Arial" w:cs="Arial" w:eastAsia="Arial" w:hAnsi="Arial"/>
          <w:sz w:val="24"/>
          <w:szCs w:val="24"/>
        </w:rPr>
        <w:t xml:space="preserve">- рыба, нерыбные объекты промысла и продукты, вырабатываемые из них;</w:t>
      </w:r>
    </w:p>
    <w:p>
      <w:pPr>
        <w:spacing w:after="120"/>
        <w:jc w:val="both"/>
      </w:pPr>
      <w:r>
        <w:rPr>
          <w:rFonts w:ascii="Arial" w:cs="Arial" w:eastAsia="Arial" w:hAnsi="Arial"/>
          <w:sz w:val="24"/>
          <w:szCs w:val="24"/>
        </w:rPr>
        <w:t xml:space="preserve">- зерно (семена), мукомольно-крупяные и хлебобулочные изделия;</w:t>
      </w:r>
    </w:p>
    <w:p>
      <w:pPr>
        <w:spacing w:after="120"/>
        <w:jc w:val="both"/>
      </w:pPr>
      <w:r>
        <w:rPr>
          <w:rFonts w:ascii="Arial" w:cs="Arial" w:eastAsia="Arial" w:hAnsi="Arial"/>
          <w:sz w:val="24"/>
          <w:szCs w:val="24"/>
        </w:rPr>
        <w:t xml:space="preserve">- сахар, сахарная свекла, сахар- сырец;</w:t>
      </w:r>
    </w:p>
    <w:p>
      <w:pPr>
        <w:spacing w:after="120"/>
        <w:jc w:val="both"/>
      </w:pPr>
      <w:r>
        <w:rPr>
          <w:rFonts w:ascii="Arial" w:cs="Arial" w:eastAsia="Arial" w:hAnsi="Arial"/>
          <w:sz w:val="24"/>
          <w:szCs w:val="24"/>
        </w:rPr>
        <w:t xml:space="preserve">- кондитерские изделия;</w:t>
      </w:r>
    </w:p>
    <w:p>
      <w:pPr>
        <w:spacing w:after="120"/>
        <w:jc w:val="both"/>
      </w:pPr>
      <w:r>
        <w:rPr>
          <w:rFonts w:ascii="Arial" w:cs="Arial" w:eastAsia="Arial" w:hAnsi="Arial"/>
          <w:sz w:val="24"/>
          <w:szCs w:val="24"/>
        </w:rPr>
        <w:t xml:space="preserve">- плодоовощная продукция (фрукты, овощи, консервы);</w:t>
      </w:r>
    </w:p>
    <w:p>
      <w:pPr>
        <w:spacing w:after="120"/>
        <w:jc w:val="both"/>
      </w:pPr>
      <w:r>
        <w:rPr>
          <w:rFonts w:ascii="Arial" w:cs="Arial" w:eastAsia="Arial" w:hAnsi="Arial"/>
          <w:sz w:val="24"/>
          <w:szCs w:val="24"/>
        </w:rPr>
        <w:t xml:space="preserve">- масличное сырье и жировые продукты;</w:t>
      </w:r>
    </w:p>
    <w:p>
      <w:pPr>
        <w:spacing w:after="120"/>
        <w:jc w:val="both"/>
      </w:pPr>
      <w:r>
        <w:rPr>
          <w:rFonts w:ascii="Arial" w:cs="Arial" w:eastAsia="Arial" w:hAnsi="Arial"/>
          <w:sz w:val="24"/>
          <w:szCs w:val="24"/>
        </w:rPr>
        <w:t xml:space="preserve">- соки;</w:t>
      </w:r>
    </w:p>
    <w:p>
      <w:pPr>
        <w:spacing w:after="120"/>
        <w:jc w:val="both"/>
      </w:pPr>
      <w:r>
        <w:rPr>
          <w:rFonts w:ascii="Arial" w:cs="Arial" w:eastAsia="Arial" w:hAnsi="Arial"/>
          <w:sz w:val="24"/>
          <w:szCs w:val="24"/>
        </w:rPr>
        <w:t xml:space="preserve">- напитки безалкогольные;</w:t>
      </w:r>
    </w:p>
    <w:p>
      <w:pPr>
        <w:spacing w:after="120"/>
        <w:jc w:val="both"/>
      </w:pPr>
      <w:r>
        <w:rPr>
          <w:rFonts w:ascii="Arial" w:cs="Arial" w:eastAsia="Arial" w:hAnsi="Arial"/>
          <w:sz w:val="24"/>
          <w:szCs w:val="24"/>
        </w:rPr>
        <w:t xml:space="preserve">- вода минеральная, природная;</w:t>
      </w:r>
    </w:p>
    <w:p>
      <w:pPr>
        <w:spacing w:after="120"/>
        <w:jc w:val="both"/>
      </w:pPr>
      <w:r>
        <w:rPr>
          <w:rFonts w:ascii="Arial" w:cs="Arial" w:eastAsia="Arial" w:hAnsi="Arial"/>
          <w:sz w:val="24"/>
          <w:szCs w:val="24"/>
        </w:rPr>
        <w:t xml:space="preserve">- алкогольная продукция (спирт и спиртосодержащие напитки, вино, пиво);</w:t>
      </w:r>
    </w:p>
    <w:p>
      <w:pPr>
        <w:spacing w:after="120"/>
        <w:jc w:val="both"/>
      </w:pPr>
      <w:r>
        <w:rPr>
          <w:rFonts w:ascii="Arial" w:cs="Arial" w:eastAsia="Arial" w:hAnsi="Arial"/>
          <w:sz w:val="24"/>
          <w:szCs w:val="24"/>
        </w:rPr>
        <w:t xml:space="preserve">- продукты детского и диетического питания;</w:t>
      </w:r>
    </w:p>
    <w:p>
      <w:pPr>
        <w:spacing w:after="120"/>
        <w:jc w:val="both"/>
      </w:pPr>
      <w:r>
        <w:rPr>
          <w:rFonts w:ascii="Arial" w:cs="Arial" w:eastAsia="Arial" w:hAnsi="Arial"/>
          <w:sz w:val="24"/>
          <w:szCs w:val="24"/>
        </w:rPr>
        <w:t xml:space="preserve">- пищевые добавки;</w:t>
      </w:r>
    </w:p>
    <w:p>
      <w:pPr>
        <w:spacing w:after="120"/>
        <w:jc w:val="both"/>
      </w:pPr>
      <w:r>
        <w:rPr>
          <w:rFonts w:ascii="Arial" w:cs="Arial" w:eastAsia="Arial" w:hAnsi="Arial"/>
          <w:sz w:val="24"/>
          <w:szCs w:val="24"/>
        </w:rPr>
        <w:t xml:space="preserve">- новые пищевые продукты;</w:t>
      </w:r>
    </w:p>
    <w:p>
      <w:pPr>
        <w:spacing w:after="120"/>
        <w:jc w:val="both"/>
      </w:pPr>
      <w:r>
        <w:rPr>
          <w:rFonts w:ascii="Arial" w:cs="Arial" w:eastAsia="Arial" w:hAnsi="Arial"/>
          <w:sz w:val="24"/>
          <w:szCs w:val="24"/>
        </w:rPr>
        <w:t xml:space="preserve">- табак.</w:t>
      </w:r>
    </w:p>
    <w:p>
      <w:pPr>
        <w:spacing w:after="120"/>
        <w:jc w:val="both"/>
      </w:pPr>
      <w:r>
        <w:rPr>
          <w:rFonts w:ascii="Arial" w:cs="Arial" w:eastAsia="Arial" w:hAnsi="Arial"/>
          <w:sz w:val="24"/>
          <w:szCs w:val="24"/>
        </w:rPr>
        <w:t xml:space="preserve">2. Объектами технического регулирования настоящего технического регламента не являются пищевые продукты, полученные в процессе домашнего производства, обработки и (или)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Основные понятия</w:t>
      </w:r>
    </w:p>
    <w:p>
      <w:pPr>
        <w:spacing w:after="120"/>
        <w:jc w:val="both"/>
      </w:pPr>
      <w:r>
        <w:rPr>
          <w:rFonts w:ascii="Arial" w:cs="Arial" w:eastAsia="Arial" w:hAnsi="Arial"/>
          <w:sz w:val="24"/>
          <w:szCs w:val="24"/>
        </w:rPr>
        <w:t xml:space="preserve">Для целей и применения настоящего технического регламента используются следующие понятия:</w:t>
      </w:r>
    </w:p>
    <w:p>
      <w:pPr>
        <w:spacing w:after="120"/>
        <w:jc w:val="both"/>
      </w:pPr>
      <w:r>
        <w:rPr>
          <w:rFonts w:ascii="Arial" w:cs="Arial" w:eastAsia="Arial" w:hAnsi="Arial"/>
          <w:b/>
          <w:bCs/>
          <w:sz w:val="24"/>
          <w:szCs w:val="24"/>
        </w:rPr>
        <w:t xml:space="preserve">анализ рисков и критические контрольные точки</w:t>
      </w:r>
      <w:r>
        <w:rPr>
          <w:rFonts w:ascii="Arial" w:cs="Arial" w:eastAsia="Arial" w:hAnsi="Arial"/>
          <w:sz w:val="24"/>
          <w:szCs w:val="24"/>
        </w:rPr>
        <w:t xml:space="preserve"> – система контроля безопасности с проведением процедуру использования доступной информации для выявления опасных факторов и оценки рисков, состоящая из четырех взаимосвязанных компонентов: определения источника опасности, оценки риска, управление риском и информации о риске;</w:t>
      </w:r>
    </w:p>
    <w:p>
      <w:pPr>
        <w:spacing w:after="120"/>
        <w:jc w:val="both"/>
      </w:pPr>
      <w:r>
        <w:rPr>
          <w:rFonts w:ascii="Arial" w:cs="Arial" w:eastAsia="Arial" w:hAnsi="Arial"/>
          <w:b/>
          <w:bCs/>
          <w:sz w:val="24"/>
          <w:szCs w:val="24"/>
        </w:rPr>
        <w:t xml:space="preserve">безопасность пищевых продуктов</w:t>
      </w:r>
      <w:r>
        <w:rPr>
          <w:rFonts w:ascii="Arial" w:cs="Arial" w:eastAsia="Arial" w:hAnsi="Arial"/>
          <w:sz w:val="24"/>
          <w:szCs w:val="24"/>
        </w:rPr>
        <w:t xml:space="preserve"> – совокупность свойств и характеристик продуктов, свидетельствующих об отсутствии недопустимого риска, связанное с причинением вреда жизни, здоровью человека и последующих поколений, животных, растений и окружающей среде;</w:t>
      </w:r>
    </w:p>
    <w:p>
      <w:pPr>
        <w:spacing w:after="120"/>
        <w:jc w:val="both"/>
      </w:pPr>
      <w:r>
        <w:rPr>
          <w:rFonts w:ascii="Arial" w:cs="Arial" w:eastAsia="Arial" w:hAnsi="Arial"/>
          <w:b/>
          <w:bCs/>
          <w:sz w:val="24"/>
          <w:szCs w:val="24"/>
        </w:rPr>
        <w:t xml:space="preserve">биологически активные пищевые добавки</w:t>
      </w:r>
      <w:r>
        <w:rPr>
          <w:rFonts w:ascii="Arial" w:cs="Arial" w:eastAsia="Arial" w:hAnsi="Arial"/>
          <w:sz w:val="24"/>
          <w:szCs w:val="24"/>
        </w:rPr>
        <w:t xml:space="preserve"> – продукты, содержащие витамины, минеральные и другие вещества природного происхождения, способствующие поддержанию здоровья и профилактике заболеваний;</w:t>
      </w:r>
    </w:p>
    <w:p>
      <w:pPr>
        <w:spacing w:after="120"/>
        <w:jc w:val="both"/>
      </w:pPr>
      <w:r>
        <w:rPr>
          <w:rFonts w:ascii="Arial" w:cs="Arial" w:eastAsia="Arial" w:hAnsi="Arial"/>
          <w:b/>
          <w:bCs/>
          <w:sz w:val="24"/>
          <w:szCs w:val="24"/>
        </w:rPr>
        <w:t xml:space="preserve">биологическая безопасность</w:t>
      </w:r>
      <w:r>
        <w:rPr>
          <w:rFonts w:ascii="Arial" w:cs="Arial" w:eastAsia="Arial" w:hAnsi="Arial"/>
          <w:sz w:val="24"/>
          <w:szCs w:val="24"/>
        </w:rPr>
        <w:t xml:space="preserve"> - состояние объектов технического регулирования, при котором отсутствует недопустимый риск для здоровья человека, а также риск от вредных факторов окружающей среды;</w:t>
      </w:r>
    </w:p>
    <w:p>
      <w:pPr>
        <w:spacing w:after="120"/>
        <w:jc w:val="both"/>
      </w:pPr>
      <w:r>
        <w:rPr>
          <w:rFonts w:ascii="Arial" w:cs="Arial" w:eastAsia="Arial" w:hAnsi="Arial"/>
          <w:b/>
          <w:bCs/>
          <w:sz w:val="24"/>
          <w:szCs w:val="24"/>
        </w:rPr>
        <w:t xml:space="preserve">ветеринарно</w:t>
      </w:r>
      <w:r>
        <w:rPr>
          <w:rFonts w:ascii="Arial" w:cs="Arial" w:eastAsia="Arial" w:hAnsi="Arial"/>
          <w:sz w:val="24"/>
          <w:szCs w:val="24"/>
        </w:rPr>
        <w:t xml:space="preserve"> – санитарная экспертиза пищевых продуктов – комплекс специальных исследований с целью оценки качества продуктов живого и растительного происхождения на рынках и решение вопроса их использования;</w:t>
      </w:r>
    </w:p>
    <w:p>
      <w:pPr>
        <w:spacing w:after="120"/>
        <w:jc w:val="both"/>
      </w:pPr>
      <w:r>
        <w:rPr>
          <w:rFonts w:ascii="Arial" w:cs="Arial" w:eastAsia="Arial" w:hAnsi="Arial"/>
          <w:b/>
          <w:bCs/>
          <w:sz w:val="24"/>
          <w:szCs w:val="24"/>
        </w:rPr>
        <w:t xml:space="preserve">вредное воздействие на человека</w:t>
      </w:r>
      <w:r>
        <w:rPr>
          <w:rFonts w:ascii="Arial" w:cs="Arial" w:eastAsia="Arial" w:hAnsi="Arial"/>
          <w:sz w:val="24"/>
          <w:szCs w:val="24"/>
        </w:rPr>
        <w:t xml:space="preserve"> – воздействие неблагоприятных факторов, связанных с наличием в пищевых продуктов добавок загрязняющих веществ, токсинов, болезнетворных организмов, создающих угрозу жизни или здоровье человека либо угрозу для жизни и здоровья будущих поколений, а также нарушение режимов хранения, транспортирования и утилизации с неправильным использованием отходов, способное привести к негативным явлениям в животном и растительном мире, окружающей среде;</w:t>
      </w:r>
    </w:p>
    <w:p>
      <w:pPr>
        <w:spacing w:after="120"/>
        <w:jc w:val="both"/>
      </w:pPr>
      <w:r>
        <w:rPr>
          <w:rFonts w:ascii="Arial" w:cs="Arial" w:eastAsia="Arial" w:hAnsi="Arial"/>
          <w:b/>
          <w:bCs/>
          <w:sz w:val="24"/>
          <w:szCs w:val="24"/>
        </w:rPr>
        <w:t xml:space="preserve">генно-модифицированные продукты</w:t>
      </w:r>
      <w:r>
        <w:rPr>
          <w:rFonts w:ascii="Arial" w:cs="Arial" w:eastAsia="Arial" w:hAnsi="Arial"/>
          <w:sz w:val="24"/>
          <w:szCs w:val="24"/>
        </w:rPr>
        <w:t xml:space="preserve"> – пищевые продукты, произведенные из генно-инженерно-модифицированных (транс генных) растений и животных- продукты в натуральном или переработанном виде, употребляемое человеком в пищу, полученные из генно-инженерно-модифицированных (транс генных) растений или животных или из сырья, произведенного из генно-инженерно-модифицированных (транс генных) растений и животных;</w:t>
      </w:r>
    </w:p>
    <w:p>
      <w:pPr>
        <w:spacing w:after="120"/>
        <w:jc w:val="both"/>
      </w:pPr>
      <w:r>
        <w:rPr>
          <w:rFonts w:ascii="Arial" w:cs="Arial" w:eastAsia="Arial" w:hAnsi="Arial"/>
          <w:b/>
          <w:bCs/>
          <w:sz w:val="24"/>
          <w:szCs w:val="24"/>
        </w:rPr>
        <w:t xml:space="preserve">государственный надзор за соблюдением требований технических регламентов</w:t>
      </w:r>
      <w:r>
        <w:rPr>
          <w:rFonts w:ascii="Arial" w:cs="Arial" w:eastAsia="Arial" w:hAnsi="Arial"/>
          <w:sz w:val="24"/>
          <w:szCs w:val="24"/>
        </w:rPr>
        <w:t xml:space="preserve"> – деятельность специально уполномоченных государственных органов исполнительной власти по проверке соблюдения технических регламентов;</w:t>
      </w:r>
    </w:p>
    <w:p>
      <w:pPr>
        <w:spacing w:after="120"/>
        <w:jc w:val="both"/>
      </w:pPr>
      <w:r>
        <w:rPr>
          <w:rFonts w:ascii="Arial" w:cs="Arial" w:eastAsia="Arial" w:hAnsi="Arial"/>
          <w:b/>
          <w:bCs/>
          <w:sz w:val="24"/>
          <w:szCs w:val="24"/>
        </w:rPr>
        <w:t xml:space="preserve">идентификация</w:t>
      </w:r>
      <w:r>
        <w:rPr>
          <w:rFonts w:ascii="Arial" w:cs="Arial" w:eastAsia="Arial" w:hAnsi="Arial"/>
          <w:sz w:val="24"/>
          <w:szCs w:val="24"/>
        </w:rPr>
        <w:t xml:space="preserve"> – установление тождественности характеристик продукции ее существенным признакам;   информация о риске – взаимный своевременный обмен сведениями о риске между субъектами, несущими ответственность за безопасность пищевой продукции и уполномоченными органами, а также другими заинтересованными сторонами;</w:t>
      </w:r>
    </w:p>
    <w:p>
      <w:pPr>
        <w:spacing w:after="120"/>
        <w:jc w:val="both"/>
      </w:pPr>
      <w:r>
        <w:rPr>
          <w:rFonts w:ascii="Arial" w:cs="Arial" w:eastAsia="Arial" w:hAnsi="Arial"/>
          <w:b/>
          <w:bCs/>
          <w:sz w:val="24"/>
          <w:szCs w:val="24"/>
        </w:rPr>
        <w:t xml:space="preserve">качественная гигиеническая практика</w:t>
      </w:r>
      <w:r>
        <w:rPr>
          <w:rFonts w:ascii="Arial" w:cs="Arial" w:eastAsia="Arial" w:hAnsi="Arial"/>
          <w:sz w:val="24"/>
          <w:szCs w:val="24"/>
        </w:rPr>
        <w:t xml:space="preserve"> – соблюдение санитарно-эпидемиологических рекомендаций по осуществлению (организации) технологического (производственного) с целью обеспечения безопасности пищевых продуктов;</w:t>
      </w:r>
    </w:p>
    <w:p>
      <w:pPr>
        <w:spacing w:after="120"/>
        <w:jc w:val="both"/>
      </w:pPr>
      <w:r>
        <w:rPr>
          <w:rFonts w:ascii="Arial" w:cs="Arial" w:eastAsia="Arial" w:hAnsi="Arial"/>
          <w:b/>
          <w:bCs/>
          <w:sz w:val="24"/>
          <w:szCs w:val="24"/>
        </w:rPr>
        <w:t xml:space="preserve">контроль</w:t>
      </w:r>
      <w:r>
        <w:rPr>
          <w:rFonts w:ascii="Arial" w:cs="Arial" w:eastAsia="Arial" w:hAnsi="Arial"/>
          <w:sz w:val="24"/>
          <w:szCs w:val="24"/>
        </w:rPr>
        <w:t xml:space="preserve"> – форма оценки соответствия, осуществляемая путем наблюдения и вызовов, сопровождаемых соответствующими испытаниями и изменениями;</w:t>
      </w:r>
    </w:p>
    <w:p>
      <w:pPr>
        <w:spacing w:after="120"/>
        <w:jc w:val="both"/>
      </w:pPr>
      <w:r>
        <w:rPr>
          <w:rFonts w:ascii="Arial" w:cs="Arial" w:eastAsia="Arial" w:hAnsi="Arial"/>
          <w:b/>
          <w:bCs/>
          <w:sz w:val="24"/>
          <w:szCs w:val="24"/>
        </w:rPr>
        <w:t xml:space="preserve">критическая контрольная точка</w:t>
      </w:r>
      <w:r>
        <w:rPr>
          <w:rFonts w:ascii="Arial" w:cs="Arial" w:eastAsia="Arial" w:hAnsi="Arial"/>
          <w:sz w:val="24"/>
          <w:szCs w:val="24"/>
        </w:rPr>
        <w:t xml:space="preserve"> – место проведения контроля для идентификации опасного фактора и (или) управление риском; лабораторный контроль – исследования физико-химических, микробиологических и иных регламентируемых показателей безопасности пищевой продукции;</w:t>
      </w:r>
    </w:p>
    <w:p>
      <w:pPr>
        <w:spacing w:after="120"/>
        <w:jc w:val="both"/>
      </w:pPr>
      <w:r>
        <w:rPr>
          <w:rFonts w:ascii="Arial" w:cs="Arial" w:eastAsia="Arial" w:hAnsi="Arial"/>
          <w:b/>
          <w:bCs/>
          <w:sz w:val="24"/>
          <w:szCs w:val="24"/>
        </w:rPr>
        <w:t xml:space="preserve">мониторинг в области безопасности пищевых продуктов </w:t>
      </w:r>
      <w:r>
        <w:rPr>
          <w:rFonts w:ascii="Arial" w:cs="Arial" w:eastAsia="Arial" w:hAnsi="Arial"/>
          <w:sz w:val="24"/>
          <w:szCs w:val="24"/>
        </w:rPr>
        <w:t xml:space="preserve">– государственная система наблюдений за безопасностью пищевых продуктов, состоянием здоровья населения и среды обитания, их анализа, оценки и прогноза, а также определения причинно-следственных связей между безопасностью и пищевой ценностью пищевых продуктов состоянием здоровья населения, осуществляемая в установленном законодательном порядке;</w:t>
      </w:r>
    </w:p>
    <w:p>
      <w:pPr>
        <w:spacing w:after="120"/>
        <w:jc w:val="both"/>
      </w:pPr>
      <w:r>
        <w:rPr>
          <w:rFonts w:ascii="Arial" w:cs="Arial" w:eastAsia="Arial" w:hAnsi="Arial"/>
          <w:b/>
          <w:bCs/>
          <w:sz w:val="24"/>
          <w:szCs w:val="24"/>
        </w:rPr>
        <w:t xml:space="preserve">нескоропортящиеся пищевые продукты</w:t>
      </w:r>
      <w:r>
        <w:rPr>
          <w:rFonts w:ascii="Arial" w:cs="Arial" w:eastAsia="Arial" w:hAnsi="Arial"/>
          <w:sz w:val="24"/>
          <w:szCs w:val="24"/>
        </w:rPr>
        <w:t xml:space="preserve"> - продукты, которые при соблюдении установленных правил хранения не нуждаются в специальных температурных режимах хранения;</w:t>
      </w:r>
    </w:p>
    <w:p>
      <w:pPr>
        <w:spacing w:after="120"/>
        <w:jc w:val="both"/>
      </w:pPr>
      <w:r>
        <w:rPr>
          <w:rFonts w:ascii="Arial" w:cs="Arial" w:eastAsia="Arial" w:hAnsi="Arial"/>
          <w:b/>
          <w:bCs/>
          <w:sz w:val="24"/>
          <w:szCs w:val="24"/>
        </w:rPr>
        <w:t xml:space="preserve">новые пищевые продукты</w:t>
      </w:r>
      <w:r>
        <w:rPr>
          <w:rFonts w:ascii="Arial" w:cs="Arial" w:eastAsia="Arial" w:hAnsi="Arial"/>
          <w:sz w:val="24"/>
          <w:szCs w:val="24"/>
        </w:rPr>
        <w:t xml:space="preserve"> – пищевые продукты, впервые разрабатываемые и внедряемые для промышленного на территории Кыргызской Республики или впервые ввозимые на территорию Кыргызской Республики;</w:t>
      </w:r>
    </w:p>
    <w:p>
      <w:pPr>
        <w:spacing w:after="120"/>
        <w:jc w:val="both"/>
      </w:pPr>
      <w:r>
        <w:rPr>
          <w:rFonts w:ascii="Arial" w:cs="Arial" w:eastAsia="Arial" w:hAnsi="Arial"/>
          <w:b/>
          <w:bCs/>
          <w:sz w:val="24"/>
          <w:szCs w:val="24"/>
        </w:rPr>
        <w:t xml:space="preserve">новые технологии</w:t>
      </w:r>
      <w:r>
        <w:rPr>
          <w:rFonts w:ascii="Arial" w:cs="Arial" w:eastAsia="Arial" w:hAnsi="Arial"/>
          <w:sz w:val="24"/>
          <w:szCs w:val="24"/>
        </w:rPr>
        <w:t xml:space="preserve"> – процессы изготовления, хранения, перевозки и реализации пищевых продуктов, ранее не применяемые на территории Кыргызской Республики, а также процессы изготовления продуктов из ранее неиспользуемых видов сырья и других компонентов;</w:t>
      </w:r>
    </w:p>
    <w:p>
      <w:pPr>
        <w:spacing w:after="120"/>
        <w:jc w:val="both"/>
      </w:pPr>
      <w:r>
        <w:rPr>
          <w:rFonts w:ascii="Arial" w:cs="Arial" w:eastAsia="Arial" w:hAnsi="Arial"/>
          <w:b/>
          <w:bCs/>
          <w:sz w:val="24"/>
          <w:szCs w:val="24"/>
        </w:rPr>
        <w:t xml:space="preserve">обогащение (фортификации)</w:t>
      </w:r>
      <w:r>
        <w:rPr>
          <w:rFonts w:ascii="Arial" w:cs="Arial" w:eastAsia="Arial" w:hAnsi="Arial"/>
          <w:sz w:val="24"/>
          <w:szCs w:val="24"/>
        </w:rPr>
        <w:t xml:space="preserve"> – процесс внесения микронутриентов в продукты питания с целью восполнения потерь в результате технологического процесса обработки продуктов питания до уровня их природного содержания, а также добавление нутриентов до уровня выше их природного содержания в продукте или добавление микронутриентов, которые не присутствуют в продукте;</w:t>
      </w:r>
    </w:p>
    <w:p>
      <w:pPr>
        <w:spacing w:after="120"/>
        <w:jc w:val="both"/>
      </w:pPr>
      <w:r>
        <w:rPr>
          <w:rFonts w:ascii="Arial" w:cs="Arial" w:eastAsia="Arial" w:hAnsi="Arial"/>
          <w:b/>
          <w:bCs/>
          <w:sz w:val="24"/>
          <w:szCs w:val="24"/>
        </w:rPr>
        <w:t xml:space="preserve">обращение продукции</w:t>
      </w:r>
      <w:r>
        <w:rPr>
          <w:rFonts w:ascii="Arial" w:cs="Arial" w:eastAsia="Arial" w:hAnsi="Arial"/>
          <w:sz w:val="24"/>
          <w:szCs w:val="24"/>
        </w:rPr>
        <w:t xml:space="preserve"> – стадии жизненного цикла продукции от отгрузки изготовителем до ее приемки конечным пользователям, в который приходит смена собственника продукции посредством купли-продажи;</w:t>
      </w:r>
    </w:p>
    <w:p>
      <w:pPr>
        <w:spacing w:after="120"/>
        <w:jc w:val="both"/>
      </w:pPr>
      <w:r>
        <w:rPr>
          <w:rFonts w:ascii="Arial" w:cs="Arial" w:eastAsia="Arial" w:hAnsi="Arial"/>
          <w:b/>
          <w:bCs/>
          <w:sz w:val="24"/>
          <w:szCs w:val="24"/>
        </w:rPr>
        <w:t xml:space="preserve">опасные пищевые продукты</w:t>
      </w:r>
      <w:r>
        <w:rPr>
          <w:rFonts w:ascii="Arial" w:cs="Arial" w:eastAsia="Arial" w:hAnsi="Arial"/>
          <w:sz w:val="24"/>
          <w:szCs w:val="24"/>
        </w:rPr>
        <w:t xml:space="preserve"> – продукты, не соответствующие требованиям настоящего технического регламента;</w:t>
      </w:r>
    </w:p>
    <w:p>
      <w:pPr>
        <w:spacing w:after="120"/>
        <w:jc w:val="both"/>
      </w:pPr>
      <w:r>
        <w:rPr>
          <w:rFonts w:ascii="Arial" w:cs="Arial" w:eastAsia="Arial" w:hAnsi="Arial"/>
          <w:b/>
          <w:bCs/>
          <w:sz w:val="24"/>
          <w:szCs w:val="24"/>
        </w:rPr>
        <w:t xml:space="preserve">опасные (вредные) факторы</w:t>
      </w:r>
      <w:r>
        <w:rPr>
          <w:rFonts w:ascii="Arial" w:cs="Arial" w:eastAsia="Arial" w:hAnsi="Arial"/>
          <w:sz w:val="24"/>
          <w:szCs w:val="24"/>
        </w:rPr>
        <w:t xml:space="preserve"> – биологические, химические и иные факторы среды, создающие угрозу жизни и здоровью человека либо угрозу жизни и здоровью будущих поколений;</w:t>
      </w:r>
    </w:p>
    <w:p>
      <w:pPr>
        <w:spacing w:after="120"/>
        <w:jc w:val="both"/>
      </w:pPr>
      <w:r>
        <w:rPr>
          <w:rFonts w:ascii="Arial" w:cs="Arial" w:eastAsia="Arial" w:hAnsi="Arial"/>
          <w:b/>
          <w:bCs/>
          <w:sz w:val="24"/>
          <w:szCs w:val="24"/>
        </w:rPr>
        <w:t xml:space="preserve">оценка риска для здоровья человека пищевых продуктов</w:t>
      </w:r>
      <w:r>
        <w:rPr>
          <w:rFonts w:ascii="Arial" w:cs="Arial" w:eastAsia="Arial" w:hAnsi="Arial"/>
          <w:sz w:val="24"/>
          <w:szCs w:val="24"/>
        </w:rPr>
        <w:t xml:space="preserve"> – количественная и/или качественная характеристика вредных эффектов, способных развиваться в результате воздействия на человека (группу людей) опасных или потенциально опасных биологических, химических и иных факторов, связанных с пищевыми продуктами при специфических условиях экспозиций;</w:t>
      </w:r>
    </w:p>
    <w:p>
      <w:pPr>
        <w:spacing w:after="120"/>
        <w:jc w:val="both"/>
      </w:pPr>
      <w:r>
        <w:rPr>
          <w:rFonts w:ascii="Arial" w:cs="Arial" w:eastAsia="Arial" w:hAnsi="Arial"/>
          <w:b/>
          <w:bCs/>
          <w:sz w:val="24"/>
          <w:szCs w:val="24"/>
        </w:rPr>
        <w:t xml:space="preserve">пищевые добавки</w:t>
      </w:r>
      <w:r>
        <w:rPr>
          <w:rFonts w:ascii="Arial" w:cs="Arial" w:eastAsia="Arial" w:hAnsi="Arial"/>
          <w:sz w:val="24"/>
          <w:szCs w:val="24"/>
        </w:rPr>
        <w:t xml:space="preserve"> – природные или искусственные вещества и их соединения, специально вводимые в пищевые продукты в процессе их изготовления в целях придания пищевым продуктам определенных свойств и (или) сохранения качества пищевых продуктов (ароматизаторы, стабилизаторы, консерванты, биологические активные добавки, технологические вспомогательные средства, витамины, минеральные соли, про,- пребиотики, микро,- макро нутриенты);</w:t>
      </w:r>
    </w:p>
    <w:p>
      <w:pPr>
        <w:spacing w:after="120"/>
        <w:jc w:val="both"/>
      </w:pPr>
      <w:r>
        <w:rPr>
          <w:rFonts w:ascii="Arial" w:cs="Arial" w:eastAsia="Arial" w:hAnsi="Arial"/>
          <w:b/>
          <w:bCs/>
          <w:sz w:val="24"/>
          <w:szCs w:val="24"/>
        </w:rPr>
        <w:t xml:space="preserve">пищевые продукты</w:t>
      </w:r>
      <w:r>
        <w:rPr>
          <w:rFonts w:ascii="Arial" w:cs="Arial" w:eastAsia="Arial" w:hAnsi="Arial"/>
          <w:sz w:val="24"/>
          <w:szCs w:val="24"/>
        </w:rPr>
        <w:t xml:space="preserve"> – продукты в натуральном или переработанном виде, употребляемые человеком в пищу (в том числе продукты детского питания, продукты диетического питания), бутилированная питьевая вода, алкогольная продукция (в том числе пиво), безалкогольные напитки, жевательная резинка, а также продовольственное сырье, пищевые добавки и биологические активные добавки;</w:t>
      </w:r>
    </w:p>
    <w:p>
      <w:pPr>
        <w:spacing w:after="120"/>
        <w:jc w:val="both"/>
      </w:pPr>
      <w:r>
        <w:rPr>
          <w:rFonts w:ascii="Arial" w:cs="Arial" w:eastAsia="Arial" w:hAnsi="Arial"/>
          <w:b/>
          <w:bCs/>
          <w:sz w:val="24"/>
          <w:szCs w:val="24"/>
        </w:rPr>
        <w:t xml:space="preserve">полноценность пищевого рациона</w:t>
      </w:r>
      <w:r>
        <w:rPr>
          <w:rFonts w:ascii="Arial" w:cs="Arial" w:eastAsia="Arial" w:hAnsi="Arial"/>
          <w:sz w:val="24"/>
          <w:szCs w:val="24"/>
        </w:rPr>
        <w:t xml:space="preserve"> – количественная и качественная полноценность химического состава;</w:t>
      </w:r>
    </w:p>
    <w:p>
      <w:pPr>
        <w:spacing w:after="120"/>
        <w:jc w:val="both"/>
      </w:pPr>
      <w:r>
        <w:rPr>
          <w:rFonts w:ascii="Arial" w:cs="Arial" w:eastAsia="Arial" w:hAnsi="Arial"/>
          <w:sz w:val="24"/>
          <w:szCs w:val="24"/>
        </w:rPr>
        <w:t xml:space="preserve">потребитель: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гражданин имеющее намерение заказать или приобрести либо заказывающий, приобретающий или использующий товары (работы, услуги) исключительно для личных (бытовых нужд, не связанных с привлечением прибыли);</w:t>
      </w:r>
    </w:p>
    <w:p>
      <w:pPr>
        <w:spacing w:after="120"/>
        <w:jc w:val="both"/>
      </w:pPr>
      <w:r>
        <w:rPr>
          <w:rFonts w:ascii="Arial" w:cs="Arial" w:eastAsia="Arial" w:hAnsi="Arial"/>
          <w:sz w:val="24"/>
          <w:szCs w:val="24"/>
        </w:rPr>
        <w:t xml:space="preserve">2). организация или лицо, получающее продукцию;</w:t>
      </w:r>
    </w:p>
    <w:p>
      <w:pPr>
        <w:spacing w:after="120"/>
        <w:jc w:val="both"/>
      </w:pPr>
      <w:r>
        <w:rPr>
          <w:rFonts w:ascii="Arial" w:cs="Arial" w:eastAsia="Arial" w:hAnsi="Arial"/>
          <w:b/>
          <w:bCs/>
          <w:sz w:val="24"/>
          <w:szCs w:val="24"/>
        </w:rPr>
        <w:t xml:space="preserve">правила гигиены в процессе производства или обращения пищевых продуктов (правила производственной гигиены) </w:t>
      </w:r>
      <w:r>
        <w:rPr>
          <w:rFonts w:ascii="Arial" w:cs="Arial" w:eastAsia="Arial" w:hAnsi="Arial"/>
          <w:sz w:val="24"/>
          <w:szCs w:val="24"/>
        </w:rPr>
        <w:t xml:space="preserve">– совокупность рекомендуемых санитарно-гигиенических требований, регулирующий объем и порядок санитарной обработки, дезинфекции, дезинсекции и дератизации;</w:t>
      </w:r>
    </w:p>
    <w:p>
      <w:pPr>
        <w:spacing w:after="120"/>
        <w:jc w:val="both"/>
      </w:pPr>
      <w:r>
        <w:rPr>
          <w:rFonts w:ascii="Arial" w:cs="Arial" w:eastAsia="Arial" w:hAnsi="Arial"/>
          <w:b/>
          <w:bCs/>
          <w:sz w:val="24"/>
          <w:szCs w:val="24"/>
        </w:rPr>
        <w:t xml:space="preserve">правила личной гигиены</w:t>
      </w:r>
      <w:r>
        <w:rPr>
          <w:rFonts w:ascii="Arial" w:cs="Arial" w:eastAsia="Arial" w:hAnsi="Arial"/>
          <w:sz w:val="24"/>
          <w:szCs w:val="24"/>
        </w:rPr>
        <w:t xml:space="preserve"> – совокупность санитарно-гигиенических требований, регулирующих проведение и экипировку работника на всех этапах производства и обращения продовольственного сырья и пищевых продуктов, с целью защиты их от загрязнения;</w:t>
      </w:r>
    </w:p>
    <w:p>
      <w:pPr>
        <w:spacing w:after="120"/>
        <w:jc w:val="both"/>
      </w:pPr>
      <w:r>
        <w:rPr>
          <w:rFonts w:ascii="Arial" w:cs="Arial" w:eastAsia="Arial" w:hAnsi="Arial"/>
          <w:b/>
          <w:bCs/>
          <w:sz w:val="24"/>
          <w:szCs w:val="24"/>
        </w:rPr>
        <w:t xml:space="preserve">премикс (минерально-витаминные, минеральные, витаминные добавки)</w:t>
      </w:r>
      <w:r>
        <w:rPr>
          <w:rFonts w:ascii="Arial" w:cs="Arial" w:eastAsia="Arial" w:hAnsi="Arial"/>
          <w:sz w:val="24"/>
          <w:szCs w:val="24"/>
        </w:rPr>
        <w:t xml:space="preserve"> – продукты, содержащие витамины, минеральные вещества или их смеси, добавляемые в продукты питания в процессе обогащения (фортификация);</w:t>
      </w:r>
    </w:p>
    <w:p>
      <w:pPr>
        <w:spacing w:after="120"/>
        <w:jc w:val="both"/>
      </w:pPr>
      <w:r>
        <w:rPr>
          <w:rFonts w:ascii="Arial" w:cs="Arial" w:eastAsia="Arial" w:hAnsi="Arial"/>
          <w:b/>
          <w:bCs/>
          <w:sz w:val="24"/>
          <w:szCs w:val="24"/>
        </w:rPr>
        <w:t xml:space="preserve">продовольственное сырье</w:t>
      </w:r>
      <w:r>
        <w:rPr>
          <w:rFonts w:ascii="Arial" w:cs="Arial" w:eastAsia="Arial" w:hAnsi="Arial"/>
          <w:sz w:val="24"/>
          <w:szCs w:val="24"/>
        </w:rPr>
        <w:t xml:space="preserve"> – сырье растительного, животного, микробиологического, минерального или искусственного происхождения и вода, используемые для переработки и изготовление пищевых продуктов;</w:t>
      </w:r>
    </w:p>
    <w:p>
      <w:pPr>
        <w:spacing w:after="120"/>
        <w:jc w:val="both"/>
      </w:pPr>
      <w:r>
        <w:rPr>
          <w:rFonts w:ascii="Arial" w:cs="Arial" w:eastAsia="Arial" w:hAnsi="Arial"/>
          <w:b/>
          <w:bCs/>
          <w:sz w:val="24"/>
          <w:szCs w:val="24"/>
        </w:rPr>
        <w:t xml:space="preserve">продукты диетического питания</w:t>
      </w:r>
      <w:r>
        <w:rPr>
          <w:rFonts w:ascii="Arial" w:cs="Arial" w:eastAsia="Arial" w:hAnsi="Arial"/>
          <w:sz w:val="24"/>
          <w:szCs w:val="24"/>
        </w:rPr>
        <w:t xml:space="preserve"> – пищевые продукты, предназначенные для лечебного и профилактического питания;</w:t>
      </w:r>
    </w:p>
    <w:p>
      <w:pPr>
        <w:spacing w:after="120"/>
        <w:jc w:val="both"/>
      </w:pPr>
      <w:r>
        <w:rPr>
          <w:rFonts w:ascii="Arial" w:cs="Arial" w:eastAsia="Arial" w:hAnsi="Arial"/>
          <w:b/>
          <w:bCs/>
          <w:sz w:val="24"/>
          <w:szCs w:val="24"/>
        </w:rPr>
        <w:t xml:space="preserve">производственный контроль</w:t>
      </w:r>
      <w:r>
        <w:rPr>
          <w:rFonts w:ascii="Arial" w:cs="Arial" w:eastAsia="Arial" w:hAnsi="Arial"/>
          <w:sz w:val="24"/>
          <w:szCs w:val="24"/>
        </w:rPr>
        <w:t xml:space="preserve"> – контроль продукции и процессов производства на соответствие требованиям настоящего технического регламента, осуществляемый участником хозяйственной деятельности в сфере производства и обращение пищевых продуктов;</w:t>
      </w:r>
    </w:p>
    <w:p>
      <w:pPr>
        <w:spacing w:after="120"/>
        <w:jc w:val="both"/>
      </w:pPr>
      <w:r>
        <w:rPr>
          <w:rFonts w:ascii="Arial" w:cs="Arial" w:eastAsia="Arial" w:hAnsi="Arial"/>
          <w:b/>
          <w:bCs/>
          <w:sz w:val="24"/>
          <w:szCs w:val="24"/>
        </w:rPr>
        <w:t xml:space="preserve">производство (изготовление) пищевых продуктов</w:t>
      </w:r>
      <w:r>
        <w:rPr>
          <w:rFonts w:ascii="Arial" w:cs="Arial" w:eastAsia="Arial" w:hAnsi="Arial"/>
          <w:sz w:val="24"/>
          <w:szCs w:val="24"/>
        </w:rPr>
        <w:t xml:space="preserve"> – процессы получения (выращивания, добычи), обработки, переработки, производства и упаковки пищевых продуктов и услуги общественного питания;</w:t>
      </w:r>
    </w:p>
    <w:p>
      <w:pPr>
        <w:spacing w:after="120"/>
        <w:jc w:val="both"/>
      </w:pPr>
      <w:r>
        <w:rPr>
          <w:rFonts w:ascii="Arial" w:cs="Arial" w:eastAsia="Arial" w:hAnsi="Arial"/>
          <w:b/>
          <w:bCs/>
          <w:sz w:val="24"/>
          <w:szCs w:val="24"/>
        </w:rPr>
        <w:t xml:space="preserve">прослеживаемость пищевой продукции</w:t>
      </w:r>
      <w:r>
        <w:rPr>
          <w:rFonts w:ascii="Arial" w:cs="Arial" w:eastAsia="Arial" w:hAnsi="Arial"/>
          <w:sz w:val="24"/>
          <w:szCs w:val="24"/>
        </w:rPr>
        <w:t xml:space="preserve"> – возможность наблюдения (происхождение, движение и местонахождение) пищевой продукции во всех процессах (на стадиях) ее разработки (создания), производства (изготовления), обращения, утилизации и уничтожения;</w:t>
      </w:r>
    </w:p>
    <w:p>
      <w:pPr>
        <w:spacing w:after="120"/>
        <w:jc w:val="both"/>
      </w:pPr>
      <w:r>
        <w:rPr>
          <w:rFonts w:ascii="Arial" w:cs="Arial" w:eastAsia="Arial" w:hAnsi="Arial"/>
          <w:b/>
          <w:bCs/>
          <w:sz w:val="24"/>
          <w:szCs w:val="24"/>
        </w:rPr>
        <w:t xml:space="preserve">процесс производства</w:t>
      </w:r>
      <w:r>
        <w:rPr>
          <w:rFonts w:ascii="Arial" w:cs="Arial" w:eastAsia="Arial" w:hAnsi="Arial"/>
          <w:sz w:val="24"/>
          <w:szCs w:val="24"/>
        </w:rPr>
        <w:t xml:space="preserve"> – последовательность этапов производства пищевых продуктов, имеющих критические регламентируемые условия;</w:t>
      </w:r>
    </w:p>
    <w:p>
      <w:pPr>
        <w:spacing w:after="120"/>
        <w:jc w:val="both"/>
      </w:pPr>
      <w:r>
        <w:rPr>
          <w:rFonts w:ascii="Arial" w:cs="Arial" w:eastAsia="Arial" w:hAnsi="Arial"/>
          <w:b/>
          <w:bCs/>
          <w:sz w:val="24"/>
          <w:szCs w:val="24"/>
        </w:rPr>
        <w:t xml:space="preserve">риск для здоровья</w:t>
      </w:r>
      <w:r>
        <w:rPr>
          <w:rFonts w:ascii="Arial" w:cs="Arial" w:eastAsia="Arial" w:hAnsi="Arial"/>
          <w:sz w:val="24"/>
          <w:szCs w:val="24"/>
        </w:rPr>
        <w:t xml:space="preserve"> – вероятность угрозы жизни или здоровью человека либо угрозы жизни или здоровью будущих поколений, обусловленных воздействием неблагоприятных факторов, связанных с приемом в пище небезопасных продуктов питания;</w:t>
      </w:r>
    </w:p>
    <w:p>
      <w:pPr>
        <w:spacing w:after="120"/>
        <w:jc w:val="both"/>
      </w:pPr>
      <w:r>
        <w:rPr>
          <w:rFonts w:ascii="Arial" w:cs="Arial" w:eastAsia="Arial" w:hAnsi="Arial"/>
          <w:b/>
          <w:bCs/>
          <w:sz w:val="24"/>
          <w:szCs w:val="24"/>
        </w:rPr>
        <w:t xml:space="preserve">санитарно-эпидемиологическая экспертиза пищевых продуктов и процессов производства</w:t>
      </w:r>
      <w:r>
        <w:rPr>
          <w:rFonts w:ascii="Arial" w:cs="Arial" w:eastAsia="Arial" w:hAnsi="Arial"/>
          <w:sz w:val="24"/>
          <w:szCs w:val="24"/>
        </w:rPr>
        <w:t xml:space="preserve"> – деятельность по установлению соответствия (несоответствия) пищевых продуктов и процессов производства требованиям настоящего технического регламента;</w:t>
      </w:r>
    </w:p>
    <w:p>
      <w:pPr>
        <w:spacing w:after="120"/>
        <w:jc w:val="both"/>
      </w:pPr>
      <w:r>
        <w:rPr>
          <w:rFonts w:ascii="Arial" w:cs="Arial" w:eastAsia="Arial" w:hAnsi="Arial"/>
          <w:b/>
          <w:bCs/>
          <w:sz w:val="24"/>
          <w:szCs w:val="24"/>
        </w:rPr>
        <w:t xml:space="preserve">сбалансированность питания</w:t>
      </w:r>
      <w:r>
        <w:rPr>
          <w:rFonts w:ascii="Arial" w:cs="Arial" w:eastAsia="Arial" w:hAnsi="Arial"/>
          <w:sz w:val="24"/>
          <w:szCs w:val="24"/>
        </w:rPr>
        <w:t xml:space="preserve"> – взаимосвязь между пищевыми веществами (белки, жиры, углеводы, минеральные вещества и витамины);</w:t>
      </w:r>
    </w:p>
    <w:p>
      <w:pPr>
        <w:spacing w:after="120"/>
        <w:jc w:val="both"/>
      </w:pPr>
      <w:r>
        <w:rPr>
          <w:rFonts w:ascii="Arial" w:cs="Arial" w:eastAsia="Arial" w:hAnsi="Arial"/>
          <w:b/>
          <w:bCs/>
          <w:sz w:val="24"/>
          <w:szCs w:val="24"/>
        </w:rPr>
        <w:t xml:space="preserve">срок годности</w:t>
      </w:r>
      <w:r>
        <w:rPr>
          <w:rFonts w:ascii="Arial" w:cs="Arial" w:eastAsia="Arial" w:hAnsi="Arial"/>
          <w:sz w:val="24"/>
          <w:szCs w:val="24"/>
        </w:rPr>
        <w:t xml:space="preserve"> – период, установленный изготовителем по согласованию с органами здравоохранения при соблюдении определенных условий хранения, по истечении которого пищевые продукты считаются непригодным для использования по назначению;</w:t>
      </w:r>
    </w:p>
    <w:p>
      <w:pPr>
        <w:spacing w:after="120"/>
        <w:jc w:val="both"/>
      </w:pPr>
      <w:r>
        <w:rPr>
          <w:rFonts w:ascii="Arial" w:cs="Arial" w:eastAsia="Arial" w:hAnsi="Arial"/>
          <w:b/>
          <w:bCs/>
          <w:sz w:val="24"/>
          <w:szCs w:val="24"/>
        </w:rPr>
        <w:t xml:space="preserve">температурный режим при производстве и обороте пищевых продуктов и компонентов</w:t>
      </w:r>
      <w:r>
        <w:rPr>
          <w:rFonts w:ascii="Arial" w:cs="Arial" w:eastAsia="Arial" w:hAnsi="Arial"/>
          <w:sz w:val="24"/>
          <w:szCs w:val="24"/>
        </w:rPr>
        <w:t xml:space="preserve"> – совокупность показателей, регламентируемых температуру в массе продукта; в камере холодильного оборудования, предназначенного для временного хранения продукта; в производственном (складском) помещении. Используемом в технологическом процессе производства пищевого продукта, а также при транспортировке;</w:t>
      </w:r>
    </w:p>
    <w:p>
      <w:pPr>
        <w:spacing w:after="120"/>
        <w:jc w:val="both"/>
      </w:pPr>
      <w:r>
        <w:rPr>
          <w:rFonts w:ascii="Arial" w:cs="Arial" w:eastAsia="Arial" w:hAnsi="Arial"/>
          <w:b/>
          <w:bCs/>
          <w:sz w:val="24"/>
          <w:szCs w:val="24"/>
        </w:rPr>
        <w:t xml:space="preserve">технологические документы (технологические инструкции, рецептуры и др.)</w:t>
      </w:r>
      <w:r>
        <w:rPr>
          <w:rFonts w:ascii="Arial" w:cs="Arial" w:eastAsia="Arial" w:hAnsi="Arial"/>
          <w:sz w:val="24"/>
          <w:szCs w:val="24"/>
        </w:rPr>
        <w:t xml:space="preserve"> – документы, определяющие состав и характеристику сырья, рецептуру, технологические режимы, порядок проведения технологических процессов и операций при изготовлении пищевых продуктов;</w:t>
      </w:r>
    </w:p>
    <w:p>
      <w:pPr>
        <w:spacing w:after="120"/>
        <w:jc w:val="both"/>
      </w:pPr>
      <w:r>
        <w:rPr>
          <w:rFonts w:ascii="Arial" w:cs="Arial" w:eastAsia="Arial" w:hAnsi="Arial"/>
          <w:b/>
          <w:bCs/>
          <w:sz w:val="24"/>
          <w:szCs w:val="24"/>
        </w:rPr>
        <w:t xml:space="preserve">участник хозяйственной деятельности в сфере изготовления и обращения пищевых продуктов</w:t>
      </w:r>
      <w:r>
        <w:rPr>
          <w:rFonts w:ascii="Arial" w:cs="Arial" w:eastAsia="Arial" w:hAnsi="Arial"/>
          <w:sz w:val="24"/>
          <w:szCs w:val="24"/>
        </w:rPr>
        <w:t xml:space="preserve"> – юридическое или физическое лица, производящие пищевую продукцию на предприятиях пищевой промышленности и общественного питания и осуществляющие хранение, транспортировку и реализацию пищевой продукции;</w:t>
      </w:r>
    </w:p>
    <w:p>
      <w:pPr>
        <w:spacing w:after="120"/>
        <w:jc w:val="both"/>
      </w:pPr>
      <w:r>
        <w:rPr>
          <w:rFonts w:ascii="Arial" w:cs="Arial" w:eastAsia="Arial" w:hAnsi="Arial"/>
          <w:b/>
          <w:bCs/>
          <w:sz w:val="24"/>
          <w:szCs w:val="24"/>
        </w:rPr>
        <w:t xml:space="preserve">утилизация пищевых продуктов</w:t>
      </w:r>
      <w:r>
        <w:rPr>
          <w:rFonts w:ascii="Arial" w:cs="Arial" w:eastAsia="Arial" w:hAnsi="Arial"/>
          <w:sz w:val="24"/>
          <w:szCs w:val="24"/>
        </w:rPr>
        <w:t xml:space="preserve"> – использование опасных пищевых продуктов в целях, отличных от целей, для которых пищевые продукты предназначены и в которых обычно используются;</w:t>
      </w:r>
    </w:p>
    <w:p>
      <w:pPr>
        <w:spacing w:after="120"/>
        <w:jc w:val="both"/>
      </w:pPr>
      <w:r>
        <w:rPr>
          <w:rFonts w:ascii="Arial" w:cs="Arial" w:eastAsia="Arial" w:hAnsi="Arial"/>
          <w:b/>
          <w:bCs/>
          <w:sz w:val="24"/>
          <w:szCs w:val="24"/>
        </w:rPr>
        <w:t xml:space="preserve">фальсифицированные пищевые продукты</w:t>
      </w:r>
      <w:r>
        <w:rPr>
          <w:rFonts w:ascii="Arial" w:cs="Arial" w:eastAsia="Arial" w:hAnsi="Arial"/>
          <w:sz w:val="24"/>
          <w:szCs w:val="24"/>
        </w:rPr>
        <w:t xml:space="preserve"> – пищевые продукты, умышленно измененные и/или имеющие скрытые свойства и качество, информация о которых является заведомо неполной или недостоверной.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Обязанности физических и юридических лиц, занятых в области производства, хранения, перевозки, реализации и утилизации пищевых продуктов</w:t>
      </w:r>
    </w:p>
    <w:p>
      <w:pPr>
        <w:spacing w:after="120"/>
        <w:jc w:val="both"/>
      </w:pPr>
      <w:r>
        <w:rPr>
          <w:rFonts w:ascii="Arial" w:cs="Arial" w:eastAsia="Arial" w:hAnsi="Arial"/>
          <w:sz w:val="24"/>
          <w:szCs w:val="24"/>
        </w:rPr>
        <w:t xml:space="preserve">1. Физические и юридические лица, занятые в производстве, хранении, перевозки, реализации и утилизации пищевых продуктов (далее – участники хозяйственной деятельности) не имеют право размещать продукцию на рынке, не отвечающую требованиям настоящего технического регламента.</w:t>
      </w:r>
    </w:p>
    <w:p>
      <w:pPr>
        <w:spacing w:after="120"/>
        <w:jc w:val="both"/>
      </w:pPr>
      <w:r>
        <w:rPr>
          <w:rFonts w:ascii="Arial" w:cs="Arial" w:eastAsia="Arial" w:hAnsi="Arial"/>
          <w:sz w:val="24"/>
          <w:szCs w:val="24"/>
        </w:rPr>
        <w:t xml:space="preserve">2. Участники хозяйственной деятельности обязаны:</w:t>
      </w:r>
    </w:p>
    <w:p>
      <w:pPr>
        <w:spacing w:after="120"/>
        <w:jc w:val="both"/>
      </w:pPr>
      <w:r>
        <w:rPr>
          <w:rFonts w:ascii="Arial" w:cs="Arial" w:eastAsia="Arial" w:hAnsi="Arial"/>
          <w:sz w:val="24"/>
          <w:szCs w:val="24"/>
        </w:rPr>
        <w:t xml:space="preserve">- выполнять требования технических регламентов и нести связанные с этим расходы;</w:t>
      </w:r>
    </w:p>
    <w:p>
      <w:pPr>
        <w:spacing w:after="120"/>
        <w:jc w:val="both"/>
      </w:pPr>
      <w:r>
        <w:rPr>
          <w:rFonts w:ascii="Arial" w:cs="Arial" w:eastAsia="Arial" w:hAnsi="Arial"/>
          <w:sz w:val="24"/>
          <w:szCs w:val="24"/>
        </w:rPr>
        <w:t xml:space="preserve">- использовать в обращении продовольственное сырье, пищевые продукты, соответствующие требованиям безопасности, установленным техническим регламентами;</w:t>
      </w:r>
    </w:p>
    <w:p>
      <w:pPr>
        <w:spacing w:after="120"/>
        <w:jc w:val="both"/>
      </w:pPr>
      <w:r>
        <w:rPr>
          <w:rFonts w:ascii="Arial" w:cs="Arial" w:eastAsia="Arial" w:hAnsi="Arial"/>
          <w:sz w:val="24"/>
          <w:szCs w:val="24"/>
        </w:rPr>
        <w:t xml:space="preserve">- гарантировать выпуск доброкачественных и безопасных продуктов питания;</w:t>
      </w:r>
    </w:p>
    <w:p>
      <w:pPr>
        <w:spacing w:after="120"/>
        <w:jc w:val="both"/>
      </w:pPr>
      <w:r>
        <w:rPr>
          <w:rFonts w:ascii="Arial" w:cs="Arial" w:eastAsia="Arial" w:hAnsi="Arial"/>
          <w:sz w:val="24"/>
          <w:szCs w:val="24"/>
        </w:rPr>
        <w:t xml:space="preserve">- не допускать в обращении продовольственное сырье, пищевые продукты, не прошедшие оценку соответствия в формах, установленных настоящим техническим регламентом;</w:t>
      </w:r>
    </w:p>
    <w:p>
      <w:pPr>
        <w:spacing w:after="120"/>
        <w:jc w:val="both"/>
      </w:pPr>
      <w:r>
        <w:rPr>
          <w:rFonts w:ascii="Arial" w:cs="Arial" w:eastAsia="Arial" w:hAnsi="Arial"/>
          <w:sz w:val="24"/>
          <w:szCs w:val="24"/>
        </w:rPr>
        <w:t xml:space="preserve">- осуществлять производственный контроль продовольственного сырья, пищевых продуктов в процессе их производства и обращения на соответствие требованиям технических регламентов;</w:t>
      </w:r>
    </w:p>
    <w:p>
      <w:pPr>
        <w:spacing w:after="120"/>
        <w:jc w:val="both"/>
      </w:pPr>
      <w:r>
        <w:rPr>
          <w:rFonts w:ascii="Arial" w:cs="Arial" w:eastAsia="Arial" w:hAnsi="Arial"/>
          <w:sz w:val="24"/>
          <w:szCs w:val="24"/>
        </w:rPr>
        <w:t xml:space="preserve">- обеспечить соблюдение требований безопасности продовольственного сырья, пищевых продуктов при их обращении;</w:t>
      </w:r>
    </w:p>
    <w:p>
      <w:pPr>
        <w:spacing w:after="120"/>
        <w:jc w:val="both"/>
      </w:pPr>
      <w:r>
        <w:rPr>
          <w:rFonts w:ascii="Arial" w:cs="Arial" w:eastAsia="Arial" w:hAnsi="Arial"/>
          <w:sz w:val="24"/>
          <w:szCs w:val="24"/>
        </w:rPr>
        <w:t xml:space="preserve">- предоставлять потребителю информацию о продовольственном сырье, пищевых продуктах в установленном порядке;</w:t>
      </w:r>
    </w:p>
    <w:p>
      <w:pPr>
        <w:spacing w:after="120"/>
        <w:jc w:val="both"/>
      </w:pPr>
      <w:r>
        <w:rPr>
          <w:rFonts w:ascii="Arial" w:cs="Arial" w:eastAsia="Arial" w:hAnsi="Arial"/>
          <w:sz w:val="24"/>
          <w:szCs w:val="24"/>
        </w:rPr>
        <w:t xml:space="preserve">- приостанавливать производство и обращение в случае установления факта выпуска (обращения) продовольственного сырья, пищевых продуктов, не отвечающих требованиям безопасности, при наличии соответствующего предписания;</w:t>
      </w:r>
    </w:p>
    <w:p>
      <w:pPr>
        <w:spacing w:after="120"/>
        <w:jc w:val="both"/>
      </w:pPr>
      <w:r>
        <w:rPr>
          <w:rFonts w:ascii="Arial" w:cs="Arial" w:eastAsia="Arial" w:hAnsi="Arial"/>
          <w:sz w:val="24"/>
          <w:szCs w:val="24"/>
        </w:rPr>
        <w:t xml:space="preserve">- изымать пищевые продукты, не соответствующие к требованиям безопасности, в том числе и уже реализованные, обеспечив возврат их от потребителя, проводить их утилизацию или уничтожение за счет собственных средств;</w:t>
      </w:r>
    </w:p>
    <w:p>
      <w:pPr>
        <w:spacing w:after="120"/>
        <w:jc w:val="both"/>
      </w:pPr>
      <w:r>
        <w:rPr>
          <w:rFonts w:ascii="Arial" w:cs="Arial" w:eastAsia="Arial" w:hAnsi="Arial"/>
          <w:sz w:val="24"/>
          <w:szCs w:val="24"/>
        </w:rPr>
        <w:t xml:space="preserve">- устанавливать срок годности по согласованию с установленным органом в области здравоохранения при соблюдении определенных условий хранения (по скоропортящейся продукции – приложение 8);</w:t>
      </w:r>
    </w:p>
    <w:p>
      <w:pPr>
        <w:spacing w:after="120"/>
        <w:jc w:val="both"/>
      </w:pPr>
      <w:r>
        <w:rPr>
          <w:rFonts w:ascii="Arial" w:cs="Arial" w:eastAsia="Arial" w:hAnsi="Arial"/>
          <w:sz w:val="24"/>
          <w:szCs w:val="24"/>
        </w:rPr>
        <w:t xml:space="preserve">- обеспечить хранение документации, подтверждающей происхождение пищевых продуктов, а в течение одного года после окончания срока годности.</w:t>
      </w:r>
    </w:p>
    <w:p>
      <w:pPr>
        <w:spacing w:after="120"/>
        <w:jc w:val="both"/>
      </w:pPr>
      <w:r>
        <w:rPr>
          <w:rFonts w:ascii="Arial" w:cs="Arial" w:eastAsia="Arial" w:hAnsi="Arial"/>
          <w:sz w:val="24"/>
          <w:szCs w:val="24"/>
        </w:rPr>
        <w:t xml:space="preserve">3. Участники хозяйственной деятельности несут ответственность за несоответствие продукции установленным продукции установленным требованиям безопасности в течение всего периода срока годности пищевого продукта промышленного изготовления отечественной продукции или поставок импортной продукции или поставок импортной продукции при соблюдении установленных правил транспортировки и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Гигиена производства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Требования к безопасности производства пищевых продуктов</w:t>
      </w:r>
    </w:p>
    <w:p>
      <w:pPr>
        <w:spacing w:after="120"/>
        <w:jc w:val="both"/>
      </w:pPr>
      <w:r>
        <w:rPr>
          <w:rFonts w:ascii="Arial" w:cs="Arial" w:eastAsia="Arial" w:hAnsi="Arial"/>
          <w:sz w:val="24"/>
          <w:szCs w:val="24"/>
        </w:rPr>
        <w:t xml:space="preserve">Безопасность производства пищевых продуктов включает требования к:</w:t>
      </w:r>
    </w:p>
    <w:p>
      <w:pPr>
        <w:spacing w:after="120"/>
        <w:jc w:val="both"/>
      </w:pPr>
      <w:r>
        <w:rPr>
          <w:rFonts w:ascii="Arial" w:cs="Arial" w:eastAsia="Arial" w:hAnsi="Arial"/>
          <w:sz w:val="24"/>
          <w:szCs w:val="24"/>
        </w:rPr>
        <w:t xml:space="preserve">- продовольственному сырью в процессе их производства, хранения, перевозки, реализации и утилизации;</w:t>
      </w:r>
    </w:p>
    <w:p>
      <w:pPr>
        <w:spacing w:after="120"/>
        <w:jc w:val="both"/>
      </w:pPr>
      <w:r>
        <w:rPr>
          <w:rFonts w:ascii="Arial" w:cs="Arial" w:eastAsia="Arial" w:hAnsi="Arial"/>
          <w:sz w:val="24"/>
          <w:szCs w:val="24"/>
        </w:rPr>
        <w:t xml:space="preserve">- переработке продовольственного сырья;</w:t>
      </w:r>
    </w:p>
    <w:p>
      <w:pPr>
        <w:spacing w:after="120"/>
        <w:jc w:val="both"/>
      </w:pPr>
      <w:r>
        <w:rPr>
          <w:rFonts w:ascii="Arial" w:cs="Arial" w:eastAsia="Arial" w:hAnsi="Arial"/>
          <w:sz w:val="24"/>
          <w:szCs w:val="24"/>
        </w:rPr>
        <w:t xml:space="preserve">- расположению предприятий по производству пищевых продуктов;</w:t>
      </w:r>
    </w:p>
    <w:p>
      <w:pPr>
        <w:spacing w:after="120"/>
        <w:jc w:val="both"/>
      </w:pPr>
      <w:r>
        <w:rPr>
          <w:rFonts w:ascii="Arial" w:cs="Arial" w:eastAsia="Arial" w:hAnsi="Arial"/>
          <w:sz w:val="24"/>
          <w:szCs w:val="24"/>
        </w:rPr>
        <w:t xml:space="preserve">- зданиям и помещениям;</w:t>
      </w:r>
    </w:p>
    <w:p>
      <w:pPr>
        <w:spacing w:after="120"/>
        <w:jc w:val="both"/>
      </w:pPr>
      <w:r>
        <w:rPr>
          <w:rFonts w:ascii="Arial" w:cs="Arial" w:eastAsia="Arial" w:hAnsi="Arial"/>
          <w:sz w:val="24"/>
          <w:szCs w:val="24"/>
        </w:rPr>
        <w:t xml:space="preserve">- водоснабжению;</w:t>
      </w:r>
    </w:p>
    <w:p>
      <w:pPr>
        <w:spacing w:after="120"/>
        <w:jc w:val="both"/>
      </w:pPr>
      <w:r>
        <w:rPr>
          <w:rFonts w:ascii="Arial" w:cs="Arial" w:eastAsia="Arial" w:hAnsi="Arial"/>
          <w:sz w:val="24"/>
          <w:szCs w:val="24"/>
        </w:rPr>
        <w:t xml:space="preserve">- канализации;</w:t>
      </w:r>
    </w:p>
    <w:p>
      <w:pPr>
        <w:spacing w:after="120"/>
        <w:jc w:val="both"/>
      </w:pPr>
      <w:r>
        <w:rPr>
          <w:rFonts w:ascii="Arial" w:cs="Arial" w:eastAsia="Arial" w:hAnsi="Arial"/>
          <w:sz w:val="24"/>
          <w:szCs w:val="24"/>
        </w:rPr>
        <w:t xml:space="preserve">- освещению, вентиляции и отоплению;</w:t>
      </w:r>
    </w:p>
    <w:p>
      <w:pPr>
        <w:spacing w:after="120"/>
        <w:jc w:val="both"/>
      </w:pPr>
      <w:r>
        <w:rPr>
          <w:rFonts w:ascii="Arial" w:cs="Arial" w:eastAsia="Arial" w:hAnsi="Arial"/>
          <w:sz w:val="24"/>
          <w:szCs w:val="24"/>
        </w:rPr>
        <w:t xml:space="preserve">- накоплению и удалению отходов производства;</w:t>
      </w:r>
    </w:p>
    <w:p>
      <w:pPr>
        <w:spacing w:after="120"/>
        <w:jc w:val="both"/>
      </w:pPr>
      <w:r>
        <w:rPr>
          <w:rFonts w:ascii="Arial" w:cs="Arial" w:eastAsia="Arial" w:hAnsi="Arial"/>
          <w:sz w:val="24"/>
          <w:szCs w:val="24"/>
        </w:rPr>
        <w:t xml:space="preserve">- технологическому оборудованию;</w:t>
      </w:r>
    </w:p>
    <w:p>
      <w:pPr>
        <w:spacing w:after="120"/>
        <w:jc w:val="both"/>
      </w:pPr>
      <w:r>
        <w:rPr>
          <w:rFonts w:ascii="Arial" w:cs="Arial" w:eastAsia="Arial" w:hAnsi="Arial"/>
          <w:sz w:val="24"/>
          <w:szCs w:val="24"/>
        </w:rPr>
        <w:t xml:space="preserve">- персоналу;</w:t>
      </w:r>
    </w:p>
    <w:p>
      <w:pPr>
        <w:spacing w:after="120"/>
        <w:jc w:val="both"/>
      </w:pPr>
      <w:r>
        <w:rPr>
          <w:rFonts w:ascii="Arial" w:cs="Arial" w:eastAsia="Arial" w:hAnsi="Arial"/>
          <w:sz w:val="24"/>
          <w:szCs w:val="24"/>
        </w:rPr>
        <w:t xml:space="preserve">- производственным операциям;</w:t>
      </w:r>
    </w:p>
    <w:p>
      <w:pPr>
        <w:spacing w:after="120"/>
        <w:jc w:val="both"/>
      </w:pPr>
      <w:r>
        <w:rPr>
          <w:rFonts w:ascii="Arial" w:cs="Arial" w:eastAsia="Arial" w:hAnsi="Arial"/>
          <w:sz w:val="24"/>
          <w:szCs w:val="24"/>
        </w:rPr>
        <w:t xml:space="preserve">- процессам перевозки продовольственного сырья, пищевых продуктов;</w:t>
      </w:r>
    </w:p>
    <w:p>
      <w:pPr>
        <w:spacing w:after="120"/>
        <w:jc w:val="both"/>
      </w:pPr>
      <w:r>
        <w:rPr>
          <w:rFonts w:ascii="Arial" w:cs="Arial" w:eastAsia="Arial" w:hAnsi="Arial"/>
          <w:sz w:val="24"/>
          <w:szCs w:val="24"/>
        </w:rPr>
        <w:t xml:space="preserve">- хранению продовольственного сырья, пищевых продуктов.</w:t>
      </w:r>
    </w:p>
    <w:p>
      <w:pPr>
        <w:spacing w:after="120"/>
        <w:jc w:val="both"/>
      </w:pPr>
      <w:r>
        <w:rPr>
          <w:rFonts w:ascii="Arial" w:cs="Arial" w:eastAsia="Arial" w:hAnsi="Arial"/>
          <w:sz w:val="24"/>
          <w:szCs w:val="24"/>
        </w:rPr>
        <w:t xml:space="preserve">Требования к гигиене производства пищевых продуктов должны соответствовать требованиям, установленным в соответствующем техническом регламенте.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Требования, обеспечивающие безопасность пищевых продуктов, в процессе их производства, хранения, перевозки, реализации и утилизации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Общие требования безопасности продовольственного сырья, пищевых продуктов в процессе их производства, хранения, перевозки, реализации и утилизации</w:t>
      </w:r>
    </w:p>
    <w:p>
      <w:pPr>
        <w:spacing w:after="120"/>
        <w:jc w:val="both"/>
      </w:pPr>
      <w:r>
        <w:rPr>
          <w:rFonts w:ascii="Arial" w:cs="Arial" w:eastAsia="Arial" w:hAnsi="Arial"/>
          <w:sz w:val="24"/>
          <w:szCs w:val="24"/>
        </w:rPr>
        <w:t xml:space="preserve">1.Правовое регулирования отношений в области установления и исполнения обязательных требований безопасности продовольственного сырья, пищевых продуктов в процессе их производства, хранения, перевозки, реализации и утилизации осуществляется в соответствии с принципами:</w:t>
      </w:r>
    </w:p>
    <w:p>
      <w:pPr>
        <w:spacing w:after="120"/>
        <w:jc w:val="both"/>
      </w:pPr>
      <w:r>
        <w:rPr>
          <w:rFonts w:ascii="Arial" w:cs="Arial" w:eastAsia="Arial" w:hAnsi="Arial"/>
          <w:sz w:val="24"/>
          <w:szCs w:val="24"/>
        </w:rPr>
        <w:t xml:space="preserve">-ответственности участников хозяйственной деятельности по обеспечению граждан пищевыми продуктами, которые не причиняют ущерб здоровью человека;</w:t>
      </w:r>
    </w:p>
    <w:p>
      <w:pPr>
        <w:spacing w:after="120"/>
        <w:jc w:val="both"/>
      </w:pPr>
      <w:r>
        <w:rPr>
          <w:rFonts w:ascii="Arial" w:cs="Arial" w:eastAsia="Arial" w:hAnsi="Arial"/>
          <w:sz w:val="24"/>
          <w:szCs w:val="24"/>
        </w:rPr>
        <w:t xml:space="preserve">- прослеживаемости товарной цепи от участника хозяйственной деятельности до розничной реализации пищевых продуктов;</w:t>
      </w:r>
    </w:p>
    <w:p>
      <w:pPr>
        <w:spacing w:after="120"/>
        <w:jc w:val="both"/>
      </w:pPr>
      <w:r>
        <w:rPr>
          <w:rFonts w:ascii="Arial" w:cs="Arial" w:eastAsia="Arial" w:hAnsi="Arial"/>
          <w:sz w:val="24"/>
          <w:szCs w:val="24"/>
        </w:rPr>
        <w:t xml:space="preserve">- обеспечение технической, химической и биологической, радиационной безопасности продовольственного сырья, пищевых продуктов;</w:t>
      </w:r>
    </w:p>
    <w:p>
      <w:pPr>
        <w:spacing w:after="120"/>
        <w:jc w:val="both"/>
      </w:pPr>
      <w:r>
        <w:rPr>
          <w:rFonts w:ascii="Arial" w:cs="Arial" w:eastAsia="Arial" w:hAnsi="Arial"/>
          <w:sz w:val="24"/>
          <w:szCs w:val="24"/>
        </w:rPr>
        <w:t xml:space="preserve">- поведение оценки соответствия в установленном порядке;</w:t>
      </w:r>
    </w:p>
    <w:p>
      <w:pPr>
        <w:spacing w:after="120"/>
        <w:jc w:val="both"/>
      </w:pPr>
      <w:r>
        <w:rPr>
          <w:rFonts w:ascii="Arial" w:cs="Arial" w:eastAsia="Arial" w:hAnsi="Arial"/>
          <w:sz w:val="24"/>
          <w:szCs w:val="24"/>
        </w:rPr>
        <w:t xml:space="preserve">- организации мониторинга в области безопасности продовольственного сырья, пищевых продуктов в процессе их производства, хранения, перевозки, реализации и утилизации;</w:t>
      </w:r>
    </w:p>
    <w:p>
      <w:pPr>
        <w:spacing w:after="120"/>
        <w:jc w:val="both"/>
      </w:pPr>
      <w:r>
        <w:rPr>
          <w:rFonts w:ascii="Arial" w:cs="Arial" w:eastAsia="Arial" w:hAnsi="Arial"/>
          <w:sz w:val="24"/>
          <w:szCs w:val="24"/>
        </w:rPr>
        <w:t xml:space="preserve">- обязанности соблюдения и выполнения требования безопасности продовольственного сырья, пищевых продуктов в процессе их производства, хранения, перевозки, реализации и утилизации физическими и юридическими лицами.</w:t>
      </w:r>
    </w:p>
    <w:p>
      <w:pPr>
        <w:spacing w:after="120"/>
        <w:jc w:val="both"/>
      </w:pPr>
      <w:r>
        <w:rPr>
          <w:rFonts w:ascii="Arial" w:cs="Arial" w:eastAsia="Arial" w:hAnsi="Arial"/>
          <w:sz w:val="24"/>
          <w:szCs w:val="24"/>
        </w:rPr>
        <w:t xml:space="preserve">2. Безопасность продовольственного сырья и пищевых продуктов в процессе их производства и обращения обеспечиваются посредством:</w:t>
      </w:r>
    </w:p>
    <w:p>
      <w:pPr>
        <w:spacing w:after="120"/>
        <w:jc w:val="both"/>
      </w:pPr>
      <w:r>
        <w:rPr>
          <w:rFonts w:ascii="Arial" w:cs="Arial" w:eastAsia="Arial" w:hAnsi="Arial"/>
          <w:sz w:val="24"/>
          <w:szCs w:val="24"/>
        </w:rPr>
        <w:t xml:space="preserve">- проведение участниками хозяйственной деятельности организационных, агрохимических, ветеринарных, технологических, инженерно-технических, санитарно-противоэпидемических и фитосанитарных мероприятий по выполнению требований соответствующих нормативных правовых актов к продовольственному сырью и пищевым продуктам, условиям их производства, хранения, перевозок и реализации;</w:t>
      </w:r>
    </w:p>
    <w:p>
      <w:pPr>
        <w:spacing w:after="120"/>
        <w:jc w:val="both"/>
      </w:pPr>
      <w:r>
        <w:rPr>
          <w:rFonts w:ascii="Arial" w:cs="Arial" w:eastAsia="Arial" w:hAnsi="Arial"/>
          <w:sz w:val="24"/>
          <w:szCs w:val="24"/>
        </w:rPr>
        <w:t xml:space="preserve">- проведения производственного контроля за безопасностью продовольственного сырья и пищевых продуктов, условиями их изготовления, хранения, перевозок и реализации, внедрением систем управления качеством на предприятиях по производству продовольственного сырья и пищевых продуктов.</w:t>
      </w:r>
    </w:p>
    <w:p>
      <w:pPr>
        <w:spacing w:after="120"/>
        <w:jc w:val="both"/>
      </w:pPr>
      <w:r>
        <w:rPr>
          <w:rFonts w:ascii="Arial" w:cs="Arial" w:eastAsia="Arial" w:hAnsi="Arial"/>
          <w:sz w:val="24"/>
          <w:szCs w:val="24"/>
        </w:rPr>
        <w:t xml:space="preserve">3. Производимые, ввозимые и находящиеся в обращении на территории Кыргызской Республики продовольственное сырье и пищевые продукты по показателям безопасности должны соответствовать требованиям настоящего технического регламента и действующим нормативным правовым актам Кыргызской Республики.</w:t>
      </w:r>
    </w:p>
    <w:p>
      <w:pPr>
        <w:spacing w:after="120"/>
        <w:jc w:val="both"/>
      </w:pPr>
      <w:r>
        <w:rPr>
          <w:rFonts w:ascii="Arial" w:cs="Arial" w:eastAsia="Arial" w:hAnsi="Arial"/>
          <w:sz w:val="24"/>
          <w:szCs w:val="24"/>
        </w:rPr>
        <w:t xml:space="preserve">4. Пищевые продукты должны быть расфасованы и упакованы такими способами, которые позволяют обеспечить сохранность безопасности при их обращении. Маркировка и упаковка пищевых продуктов должны соответствовать требованиям соответствующего технического регламента.</w:t>
      </w:r>
    </w:p>
    <w:p>
      <w:pPr>
        <w:spacing w:after="120"/>
        <w:jc w:val="both"/>
      </w:pPr>
      <w:r>
        <w:rPr>
          <w:rFonts w:ascii="Arial" w:cs="Arial" w:eastAsia="Arial" w:hAnsi="Arial"/>
          <w:sz w:val="24"/>
          <w:szCs w:val="24"/>
        </w:rPr>
        <w:t xml:space="preserve">5. Используемые в процессе производства пищевых продуктов материалы и изделия должны быть разрешены в установленном порядке и соответствовать требованиям безопасности таких материалов и изделий, установленный соответствующими техническими регламентами.</w:t>
      </w:r>
    </w:p>
    <w:p>
      <w:pPr>
        <w:spacing w:after="120"/>
        <w:jc w:val="both"/>
      </w:pPr>
      <w:r>
        <w:rPr>
          <w:rFonts w:ascii="Arial" w:cs="Arial" w:eastAsia="Arial" w:hAnsi="Arial"/>
          <w:sz w:val="24"/>
          <w:szCs w:val="24"/>
        </w:rPr>
        <w:t xml:space="preserve">6. Участники хозяйственной деятельности в сфере производства, ввоза и обращения пищевых продуктов должны осуществлять производственный контроль, в том числе лабораторные исследования и испытания по показателям безопасности на соответствия требованиям настоящего технического регламента.</w:t>
      </w:r>
    </w:p>
    <w:p>
      <w:pPr>
        <w:spacing w:after="120"/>
        <w:jc w:val="both"/>
      </w:pPr>
      <w:r>
        <w:rPr>
          <w:rFonts w:ascii="Arial" w:cs="Arial" w:eastAsia="Arial" w:hAnsi="Arial"/>
          <w:sz w:val="24"/>
          <w:szCs w:val="24"/>
        </w:rPr>
        <w:t xml:space="preserve">7. Лабораторные исследования и испытания осуществляется лабораториями, аккредитованными в установленном порядке.</w:t>
      </w:r>
    </w:p>
    <w:p>
      <w:pPr>
        <w:spacing w:after="120"/>
        <w:jc w:val="both"/>
      </w:pPr>
      <w:r>
        <w:rPr>
          <w:rFonts w:ascii="Arial" w:cs="Arial" w:eastAsia="Arial" w:hAnsi="Arial"/>
          <w:sz w:val="24"/>
          <w:szCs w:val="24"/>
        </w:rPr>
        <w:t xml:space="preserve">8. Для проведения лабораторных исследований и испытаний показателей безопасности пищевых продуктов должны применятся стандарты, методики, аттестованные в установленном порядке, и средства измерений, внесенные в государственный реестр и поверенные в установленном порядке.</w:t>
      </w:r>
    </w:p>
    <w:p>
      <w:pPr>
        <w:spacing w:after="120"/>
        <w:jc w:val="both"/>
      </w:pPr>
      <w:r>
        <w:rPr>
          <w:rFonts w:ascii="Arial" w:cs="Arial" w:eastAsia="Arial" w:hAnsi="Arial"/>
          <w:sz w:val="24"/>
          <w:szCs w:val="24"/>
        </w:rPr>
        <w:t xml:space="preserve">9. Участники хозяйственной деятельности на каждую партию пищевых продуктов оформляют документы, подтверждающие их безопасность.</w:t>
      </w:r>
    </w:p>
    <w:p>
      <w:pPr>
        <w:spacing w:after="120"/>
        <w:jc w:val="both"/>
      </w:pPr>
      <w:r>
        <w:rPr>
          <w:rFonts w:ascii="Arial" w:cs="Arial" w:eastAsia="Arial" w:hAnsi="Arial"/>
          <w:sz w:val="24"/>
          <w:szCs w:val="24"/>
        </w:rPr>
        <w:t xml:space="preserve">10. Не могут находиться в обращении продовольственное сырье, пищевые продукты и признаются потенциально опасными для здоровья человека и не подлежат реализации, утилизируется или уничтожаются в установленном порядке, которые:</w:t>
      </w:r>
    </w:p>
    <w:p>
      <w:pPr>
        <w:spacing w:after="120"/>
        <w:jc w:val="both"/>
      </w:pPr>
      <w:r>
        <w:rPr>
          <w:rFonts w:ascii="Arial" w:cs="Arial" w:eastAsia="Arial" w:hAnsi="Arial"/>
          <w:sz w:val="24"/>
          <w:szCs w:val="24"/>
        </w:rPr>
        <w:t xml:space="preserve">-не соответствуют требованиям безопасности настоящего технического регламента и соответствующих специальных технических регламентов;</w:t>
      </w:r>
    </w:p>
    <w:p>
      <w:pPr>
        <w:spacing w:after="120"/>
        <w:jc w:val="both"/>
      </w:pPr>
      <w:r>
        <w:rPr>
          <w:rFonts w:ascii="Arial" w:cs="Arial" w:eastAsia="Arial" w:hAnsi="Arial"/>
          <w:sz w:val="24"/>
          <w:szCs w:val="24"/>
        </w:rPr>
        <w:t xml:space="preserve">- не имеют документов производителя на продовольственное сырье, пищевые продукты, подтверждающих их происхождение, и в отношении которых отсутствует информация о продвижении соответствия требованиям настоящего технического регламента, соответствующих специальных технических регламентов условиям договора;</w:t>
      </w:r>
    </w:p>
    <w:p>
      <w:pPr>
        <w:spacing w:after="120"/>
        <w:jc w:val="both"/>
      </w:pPr>
      <w:r>
        <w:rPr>
          <w:rFonts w:ascii="Arial" w:cs="Arial" w:eastAsia="Arial" w:hAnsi="Arial"/>
          <w:sz w:val="24"/>
          <w:szCs w:val="24"/>
        </w:rPr>
        <w:t xml:space="preserve">- не соответствуют представленной участниками хозяйственной деятельности информации для потребления в соответствии с техническим регламентом (фальсифицированная продукция);</w:t>
      </w:r>
    </w:p>
    <w:p>
      <w:pPr>
        <w:spacing w:after="120"/>
        <w:jc w:val="both"/>
      </w:pPr>
      <w:r>
        <w:rPr>
          <w:rFonts w:ascii="Arial" w:cs="Arial" w:eastAsia="Arial" w:hAnsi="Arial"/>
          <w:sz w:val="24"/>
          <w:szCs w:val="24"/>
        </w:rPr>
        <w:t xml:space="preserve">- не имеют установленных сроков годности (для пищевых продуктов, в отношение которых установление сроков годности является обязательным) или сроки годности которых истекли;</w:t>
      </w:r>
    </w:p>
    <w:p>
      <w:pPr>
        <w:spacing w:after="120"/>
        <w:jc w:val="both"/>
      </w:pPr>
      <w:r>
        <w:rPr>
          <w:rFonts w:ascii="Arial" w:cs="Arial" w:eastAsia="Arial" w:hAnsi="Arial"/>
          <w:sz w:val="24"/>
          <w:szCs w:val="24"/>
        </w:rPr>
        <w:t xml:space="preserve">- не имеют маркировки, содержащей сведения, предусмотренные с законодательством, либо в отношении которых не имеется такой информации.</w:t>
      </w:r>
    </w:p>
    <w:p>
      <w:pPr>
        <w:spacing w:after="120"/>
        <w:jc w:val="both"/>
      </w:pPr>
      <w:r>
        <w:rPr>
          <w:rFonts w:ascii="Arial" w:cs="Arial" w:eastAsia="Arial" w:hAnsi="Arial"/>
          <w:sz w:val="24"/>
          <w:szCs w:val="24"/>
        </w:rPr>
        <w:t xml:space="preserve">11. В производстве пищевых продуктов не допускается использовать лекарственные растения, за использованием ароматических (пряных) растений, используемых для приготовления безалкогольных напитков и ликероводочных изделий растений, обладающих тонизирующими свойствами.</w:t>
      </w:r>
    </w:p>
    <w:p>
      <w:pPr>
        <w:spacing w:after="120"/>
        <w:jc w:val="both"/>
      </w:pPr>
      <w:r>
        <w:rPr>
          <w:rFonts w:ascii="Arial" w:cs="Arial" w:eastAsia="Arial" w:hAnsi="Arial"/>
          <w:sz w:val="24"/>
          <w:szCs w:val="24"/>
        </w:rPr>
        <w:t xml:space="preserve">12. При производстве пищевых продуктов допускается использовать пищевые добавки и технологические вспомогательные средства, не оказывающие по данным современных научных исследований вредного воздействия на жизнь и здоровье человека и жизнь и здоровье будущих поколений.</w:t>
      </w:r>
    </w:p>
    <w:p>
      <w:pPr>
        <w:spacing w:after="120"/>
        <w:jc w:val="both"/>
      </w:pPr>
      <w:r>
        <w:rPr>
          <w:rFonts w:ascii="Arial" w:cs="Arial" w:eastAsia="Arial" w:hAnsi="Arial"/>
          <w:sz w:val="24"/>
          <w:szCs w:val="24"/>
        </w:rPr>
        <w:t xml:space="preserve">13. Применение пищевых добавок, технологических вспомогательных средств при производстве пищевых продуктов, их количественное нормирование, а так же показатели безопасности должны соответствовать установленным требованиям.</w:t>
      </w:r>
    </w:p>
    <w:p>
      <w:pPr>
        <w:spacing w:after="120"/>
        <w:jc w:val="both"/>
      </w:pPr>
      <w:r>
        <w:rPr>
          <w:rFonts w:ascii="Arial" w:cs="Arial" w:eastAsia="Arial" w:hAnsi="Arial"/>
          <w:sz w:val="24"/>
          <w:szCs w:val="24"/>
        </w:rPr>
        <w:t xml:space="preserve">14. Для обеспечения безопасности пищевых продуктов на предприятиях могут вводиться системы менеджмента качества и безопасности пищевой продукции, основанных на анализе рисков и критических контрольных точек на всех этапах жизненного цикла – от получения сырья до использования продукта конечным потребителем.</w:t>
      </w:r>
    </w:p>
    <w:p>
      <w:pPr>
        <w:spacing w:after="120"/>
        <w:jc w:val="both"/>
      </w:pPr>
      <w:r>
        <w:rPr>
          <w:rFonts w:ascii="Arial" w:cs="Arial" w:eastAsia="Arial" w:hAnsi="Arial"/>
          <w:sz w:val="24"/>
          <w:szCs w:val="24"/>
        </w:rPr>
        <w:t xml:space="preserve">15. Порядок и график поэтапного внедрения систем менеджмента качество и безопасности пищевой продукции, основанных на анализе рисков и критических контрольных точек на предприятиях, определяется Правительством Кыргызской Республики.</w:t>
      </w:r>
    </w:p>
    <w:p>
      <w:pPr>
        <w:spacing w:after="120"/>
        <w:jc w:val="both"/>
      </w:pPr>
      <w:r>
        <w:rPr>
          <w:rFonts w:ascii="Arial" w:cs="Arial" w:eastAsia="Arial" w:hAnsi="Arial"/>
          <w:sz w:val="24"/>
          <w:szCs w:val="24"/>
        </w:rPr>
        <w:t xml:space="preserve">Статья 8. Требования к пищевым добавкам</w:t>
      </w:r>
    </w:p>
    <w:p>
      <w:pPr>
        <w:spacing w:after="120"/>
        <w:jc w:val="both"/>
      </w:pPr>
      <w:r>
        <w:rPr>
          <w:rFonts w:ascii="Arial" w:cs="Arial" w:eastAsia="Arial" w:hAnsi="Arial"/>
          <w:sz w:val="24"/>
          <w:szCs w:val="24"/>
        </w:rPr>
        <w:t xml:space="preserve">1. Пищевые добавки к пище используется как дополнительный источник пищевых и биологически активных веществ.</w:t>
      </w:r>
    </w:p>
    <w:p>
      <w:pPr>
        <w:spacing w:after="120"/>
        <w:jc w:val="both"/>
      </w:pPr>
      <w:r>
        <w:rPr>
          <w:rFonts w:ascii="Arial" w:cs="Arial" w:eastAsia="Arial" w:hAnsi="Arial"/>
          <w:sz w:val="24"/>
          <w:szCs w:val="24"/>
        </w:rPr>
        <w:t xml:space="preserve">2. Требования к безопасности пищевых добавок установлены в соответствующем техническом регламенте.</w:t>
      </w:r>
    </w:p>
    <w:p>
      <w:pPr>
        <w:spacing w:after="120"/>
        <w:jc w:val="both"/>
      </w:pPr>
      <w:r>
        <w:rPr>
          <w:rFonts w:ascii="Arial" w:cs="Arial" w:eastAsia="Arial" w:hAnsi="Arial"/>
          <w:sz w:val="24"/>
          <w:szCs w:val="24"/>
        </w:rPr>
        <w:t xml:space="preserve">Статья 9. Требования к продуктам диетического (лечебного и профилактического) питания</w:t>
      </w:r>
    </w:p>
    <w:p>
      <w:pPr>
        <w:spacing w:after="120"/>
        <w:jc w:val="both"/>
      </w:pPr>
      <w:r>
        <w:rPr>
          <w:rFonts w:ascii="Arial" w:cs="Arial" w:eastAsia="Arial" w:hAnsi="Arial"/>
          <w:sz w:val="24"/>
          <w:szCs w:val="24"/>
        </w:rPr>
        <w:t xml:space="preserve">1. По показателям безопасности продукты диетического (лечебного и профилактического) питания и их компоненты (сырье) должны соответствовать установленным требованиям.</w:t>
      </w:r>
    </w:p>
    <w:p>
      <w:pPr>
        <w:spacing w:after="120"/>
        <w:jc w:val="both"/>
      </w:pPr>
      <w:r>
        <w:rPr>
          <w:rFonts w:ascii="Arial" w:cs="Arial" w:eastAsia="Arial" w:hAnsi="Arial"/>
          <w:sz w:val="24"/>
          <w:szCs w:val="24"/>
        </w:rPr>
        <w:t xml:space="preserve">2. При производстве сельскохозяйственного сырья для продуктов диетического питания не допускается использование генетически модифицированных продуктов, антибиотиков и стимуляторов роста растений.</w:t>
      </w:r>
    </w:p>
    <w:p>
      <w:pPr>
        <w:spacing w:after="120"/>
        <w:jc w:val="both"/>
      </w:pPr>
      <w:r>
        <w:rPr>
          <w:rFonts w:ascii="Arial" w:cs="Arial" w:eastAsia="Arial" w:hAnsi="Arial"/>
          <w:sz w:val="24"/>
          <w:szCs w:val="24"/>
        </w:rPr>
        <w:t xml:space="preserve">3. Не допускается применение пищевых добавок, за исключением допущенных для производства продуктов диетического питания в установленном порядке.</w:t>
      </w:r>
    </w:p>
    <w:p>
      <w:pPr>
        <w:spacing w:after="120"/>
        <w:jc w:val="both"/>
      </w:pPr>
      <w:r>
        <w:rPr>
          <w:rFonts w:ascii="Arial" w:cs="Arial" w:eastAsia="Arial" w:hAnsi="Arial"/>
          <w:sz w:val="24"/>
          <w:szCs w:val="24"/>
        </w:rPr>
        <w:t xml:space="preserve">4. Специальные требования при производстве и обращении продуктов диетического (лечебного и профилактического) питания должны быть учтены в специальном техническом регламенте.</w:t>
      </w:r>
    </w:p>
    <w:p>
      <w:pPr>
        <w:spacing w:after="120"/>
        <w:jc w:val="both"/>
      </w:pPr>
      <w:r>
        <w:rPr>
          <w:rFonts w:ascii="Arial" w:cs="Arial" w:eastAsia="Arial" w:hAnsi="Arial"/>
          <w:sz w:val="24"/>
          <w:szCs w:val="24"/>
        </w:rPr>
        <w:t xml:space="preserve">Статья 10. Требование к специализированным тонизирующим продуктам</w:t>
      </w:r>
    </w:p>
    <w:p>
      <w:pPr>
        <w:spacing w:after="120"/>
        <w:jc w:val="both"/>
      </w:pPr>
      <w:r>
        <w:rPr>
          <w:rFonts w:ascii="Arial" w:cs="Arial" w:eastAsia="Arial" w:hAnsi="Arial"/>
          <w:sz w:val="24"/>
          <w:szCs w:val="24"/>
        </w:rPr>
        <w:t xml:space="preserve">1. Разрешается производство следующих видов специализированных тонизирующих пищевых продуктов: тонизирующие (энергетические) безалкогольные напитки, тонизирующие (энергетические) слабоалкогольные напитки и тонизирующие кондитерские изделия (конфеты, батончики, плитки, драже, пастилки, жевательные резинки).</w:t>
      </w:r>
    </w:p>
    <w:p>
      <w:pPr>
        <w:spacing w:after="120"/>
        <w:jc w:val="both"/>
      </w:pPr>
      <w:r>
        <w:rPr>
          <w:rFonts w:ascii="Arial" w:cs="Arial" w:eastAsia="Arial" w:hAnsi="Arial"/>
          <w:sz w:val="24"/>
          <w:szCs w:val="24"/>
        </w:rPr>
        <w:t xml:space="preserve">2. По показателям безопасности тонизирующие продукты, а также сырье, используемое для их производства, должны отвечать требованиям, установленным в Приложении 1.</w:t>
      </w:r>
    </w:p>
    <w:p>
      <w:pPr>
        <w:spacing w:after="120"/>
        <w:jc w:val="both"/>
      </w:pPr>
      <w:r>
        <w:rPr>
          <w:rFonts w:ascii="Arial" w:cs="Arial" w:eastAsia="Arial" w:hAnsi="Arial"/>
          <w:sz w:val="24"/>
          <w:szCs w:val="24"/>
        </w:rPr>
        <w:t xml:space="preserve">3. В качестве тонизирующих веществ (компонентов) допускается использовать кофеин и содержащие его растение (растительные экстракты), а так же разрешенные лекарственные растения и их экстракты, оказывающие тонизирующее действие.</w:t>
      </w:r>
    </w:p>
    <w:p>
      <w:pPr>
        <w:spacing w:after="120"/>
        <w:jc w:val="both"/>
      </w:pPr>
      <w:r>
        <w:rPr>
          <w:rFonts w:ascii="Arial" w:cs="Arial" w:eastAsia="Arial" w:hAnsi="Arial"/>
          <w:sz w:val="24"/>
          <w:szCs w:val="24"/>
        </w:rPr>
        <w:t xml:space="preserve">4. В состав тонизирующих продуктов одновременно допускается вводить не более двух тонизирующих компонентов (включая этиловый спирт- для слабоалкогольных тонизирующих напитков), а также минеральные вещества, витамины и витаминоподобные вещества, субстраты и стимуляторы энергетического обмена.</w:t>
      </w:r>
    </w:p>
    <w:p>
      <w:pPr>
        <w:spacing w:after="120"/>
        <w:jc w:val="both"/>
      </w:pPr>
      <w:r>
        <w:rPr>
          <w:rFonts w:ascii="Arial" w:cs="Arial" w:eastAsia="Arial" w:hAnsi="Arial"/>
          <w:sz w:val="24"/>
          <w:szCs w:val="24"/>
        </w:rPr>
        <w:t xml:space="preserve">5. Количество тонизирующих компонентов и других пищевых и биологически активных веществ в суточной дозировке (1 упаковка) тонизирующих продуктов не должно превышать 50% от «верхнего потребления», установленного в приложении 5.</w:t>
      </w:r>
    </w:p>
    <w:p>
      <w:pPr>
        <w:spacing w:after="120"/>
        <w:jc w:val="both"/>
      </w:pPr>
      <w:r>
        <w:rPr>
          <w:rFonts w:ascii="Arial" w:cs="Arial" w:eastAsia="Arial" w:hAnsi="Arial"/>
          <w:sz w:val="24"/>
          <w:szCs w:val="24"/>
        </w:rPr>
        <w:t xml:space="preserve">6. Витамины и минеральные соли должны использоваться в формах в соответствии с Приложением 6.</w:t>
      </w:r>
    </w:p>
    <w:p>
      <w:pPr>
        <w:spacing w:after="120"/>
        <w:jc w:val="both"/>
      </w:pPr>
      <w:r>
        <w:rPr>
          <w:rFonts w:ascii="Arial" w:cs="Arial" w:eastAsia="Arial" w:hAnsi="Arial"/>
          <w:sz w:val="24"/>
          <w:szCs w:val="24"/>
        </w:rPr>
        <w:t xml:space="preserve">7. Содержание кофеина в специализированных тонизирующих безалкогольных напитках не должно превышать 400 мг/л.</w:t>
      </w:r>
    </w:p>
    <w:p>
      <w:pPr>
        <w:spacing w:after="120"/>
        <w:jc w:val="both"/>
      </w:pPr>
      <w:r>
        <w:rPr>
          <w:rFonts w:ascii="Arial" w:cs="Arial" w:eastAsia="Arial" w:hAnsi="Arial"/>
          <w:sz w:val="24"/>
          <w:szCs w:val="24"/>
        </w:rPr>
        <w:t xml:space="preserve">8. Тонизирующие пищевые продукты являются специализированными продуктами нормированного потребления и должны выпускаться только в фасованном виде (штучно и в упаковках).</w:t>
      </w:r>
    </w:p>
    <w:p>
      <w:pPr>
        <w:spacing w:after="120"/>
        <w:jc w:val="both"/>
      </w:pPr>
      <w:r>
        <w:rPr>
          <w:rFonts w:ascii="Arial" w:cs="Arial" w:eastAsia="Arial" w:hAnsi="Arial"/>
          <w:sz w:val="24"/>
          <w:szCs w:val="24"/>
        </w:rPr>
        <w:t xml:space="preserve">9. Объем (масса) разовой потребительской упаковки должен составлять: для тонизирующих напитков- 200-300 мл, для тонизирующих кондитерских изделий- 75- 150 г.</w:t>
      </w:r>
    </w:p>
    <w:p>
      <w:pPr>
        <w:spacing w:after="120"/>
        <w:jc w:val="both"/>
      </w:pPr>
      <w:r>
        <w:rPr>
          <w:rFonts w:ascii="Arial" w:cs="Arial" w:eastAsia="Arial" w:hAnsi="Arial"/>
          <w:sz w:val="24"/>
          <w:szCs w:val="24"/>
        </w:rPr>
        <w:t xml:space="preserve">10. При санитарно-эпидемиологической экспертизе тонизирующих продуктов проводится оценка необходимости проведения их клинической оценки и/или дополнительной экспертизы.</w:t>
      </w:r>
    </w:p>
    <w:p>
      <w:pPr>
        <w:spacing w:after="120"/>
        <w:jc w:val="both"/>
      </w:pPr>
      <w:r>
        <w:rPr>
          <w:rFonts w:ascii="Arial" w:cs="Arial" w:eastAsia="Arial" w:hAnsi="Arial"/>
          <w:sz w:val="24"/>
          <w:szCs w:val="24"/>
        </w:rPr>
        <w:t xml:space="preserve">11. Для слабоалкогольных тонизирующих напитков дополнительно необходимо проводить наркологическую и токсикологическую экспертизы.</w:t>
      </w:r>
    </w:p>
    <w:p>
      <w:pPr>
        <w:spacing w:after="120"/>
        <w:jc w:val="both"/>
      </w:pPr>
      <w:r>
        <w:rPr>
          <w:rFonts w:ascii="Arial" w:cs="Arial" w:eastAsia="Arial" w:hAnsi="Arial"/>
          <w:sz w:val="24"/>
          <w:szCs w:val="24"/>
        </w:rPr>
        <w:t xml:space="preserve">12. При использовании в составе тонизирующих продуктов биологически активных веществ, для которых не установлены допустимые уровни потребления (приложение 5), необходимо проведение клинической оценки.</w:t>
      </w:r>
    </w:p>
    <w:p>
      <w:pPr>
        <w:spacing w:after="120"/>
        <w:jc w:val="both"/>
      </w:pPr>
      <w:r>
        <w:rPr>
          <w:rFonts w:ascii="Arial" w:cs="Arial" w:eastAsia="Arial" w:hAnsi="Arial"/>
          <w:sz w:val="24"/>
          <w:szCs w:val="24"/>
        </w:rPr>
        <w:t xml:space="preserve">13. Наркологическая и токсикологическая экспертиза, а также клиническая оценка тонизирующих пищевых продуктов должна проводиться аккредитованными в установленном порядке на данный вид деятельности научными и лечебно-профилактическими медицинскими организациями.</w:t>
      </w:r>
    </w:p>
    <w:p>
      <w:pPr>
        <w:spacing w:after="120"/>
        <w:jc w:val="both"/>
      </w:pPr>
      <w:r>
        <w:rPr>
          <w:rFonts w:ascii="Arial" w:cs="Arial" w:eastAsia="Arial" w:hAnsi="Arial"/>
          <w:sz w:val="24"/>
          <w:szCs w:val="24"/>
        </w:rPr>
        <w:t xml:space="preserve">Статья 11. Требования к обогащенным пищевым продуктам</w:t>
      </w:r>
    </w:p>
    <w:p>
      <w:pPr>
        <w:spacing w:after="120"/>
        <w:jc w:val="both"/>
      </w:pPr>
      <w:r>
        <w:rPr>
          <w:rFonts w:ascii="Arial" w:cs="Arial" w:eastAsia="Arial" w:hAnsi="Arial"/>
          <w:sz w:val="24"/>
          <w:szCs w:val="24"/>
        </w:rPr>
        <w:t xml:space="preserve">1. Пищевые продукты допускается обогащать микронутриентами (витаминами и минеральными веществами), премиксами, в соответствии с требованиями соответствующего технического регламента.</w:t>
      </w:r>
    </w:p>
    <w:p>
      <w:pPr>
        <w:spacing w:after="120"/>
        <w:jc w:val="both"/>
      </w:pPr>
      <w:r>
        <w:rPr>
          <w:rFonts w:ascii="Arial" w:cs="Arial" w:eastAsia="Arial" w:hAnsi="Arial"/>
          <w:sz w:val="24"/>
          <w:szCs w:val="24"/>
        </w:rPr>
        <w:t xml:space="preserve">2. Витамины и минеральные соли должны использоваться в формах в соответствии с Приложением 6.</w:t>
      </w:r>
    </w:p>
    <w:p>
      <w:pPr>
        <w:spacing w:after="120"/>
        <w:jc w:val="both"/>
      </w:pPr>
      <w:r>
        <w:rPr>
          <w:rFonts w:ascii="Arial" w:cs="Arial" w:eastAsia="Arial" w:hAnsi="Arial"/>
          <w:sz w:val="24"/>
          <w:szCs w:val="24"/>
        </w:rPr>
        <w:t xml:space="preserve">3. Содержание обогащающих веществ в пищевых продуктах (в суточной порции) должно составлять от 15 до 50% от рекомендуемого суточного потребления, установленного Приложением 5.</w:t>
      </w:r>
    </w:p>
    <w:p>
      <w:pPr>
        <w:spacing w:after="120"/>
        <w:jc w:val="both"/>
      </w:pPr>
      <w:r>
        <w:rPr>
          <w:rFonts w:ascii="Arial" w:cs="Arial" w:eastAsia="Arial" w:hAnsi="Arial"/>
          <w:sz w:val="24"/>
          <w:szCs w:val="24"/>
        </w:rPr>
        <w:t xml:space="preserve">4. Обогащение пищевых продуктов не должно ухудшать потребительские свойства этих продуктов, а в том числе уменьшать содержание и усвояемость других содержащихся в них пищевых веществ и оказывать отрицательное влияние на их безопасность.</w:t>
      </w:r>
    </w:p>
    <w:p>
      <w:pPr>
        <w:spacing w:after="120"/>
        <w:jc w:val="both"/>
      </w:pPr>
      <w:r>
        <w:rPr>
          <w:rFonts w:ascii="Arial" w:cs="Arial" w:eastAsia="Arial" w:hAnsi="Arial"/>
          <w:sz w:val="24"/>
          <w:szCs w:val="24"/>
        </w:rPr>
        <w:t xml:space="preserve">5. При обогащении пищевых продуктов витаминами и минеральными веществами необходимо учитывать возможность химического взаимодействия обогащающих добавок между собой и компонентами обогащаемого продукта и выбирать такие их сочетания, формы, способы и стадии внесения, которые обеспечивают их максимальную сохранность в процессе оборота обогащенных пищевых продуктов.</w:t>
      </w:r>
    </w:p>
    <w:p>
      <w:pPr>
        <w:spacing w:after="120"/>
        <w:jc w:val="both"/>
      </w:pPr>
      <w:r>
        <w:rPr>
          <w:rFonts w:ascii="Arial" w:cs="Arial" w:eastAsia="Arial" w:hAnsi="Arial"/>
          <w:sz w:val="24"/>
          <w:szCs w:val="24"/>
        </w:rPr>
        <w:t xml:space="preserve">6. Для обогащения пищевых продуктов допускается использовать специально подобранные готовые композиции: витаминные и витамино-минеральные смеси; премиксы для непосредственного обогащения конкретных видов пищевых продуктов.</w:t>
      </w:r>
    </w:p>
    <w:p>
      <w:pPr>
        <w:spacing w:after="120"/>
        <w:jc w:val="both"/>
      </w:pPr>
      <w:r>
        <w:rPr>
          <w:rFonts w:ascii="Arial" w:cs="Arial" w:eastAsia="Arial" w:hAnsi="Arial"/>
          <w:sz w:val="24"/>
          <w:szCs w:val="24"/>
        </w:rPr>
        <w:t xml:space="preserve">Статья 12. Требования к безопасности пищевых продуктов, полученных из гено-инженерно-модифицированных растений или животных.</w:t>
      </w:r>
    </w:p>
    <w:p>
      <w:pPr>
        <w:spacing w:after="120"/>
        <w:jc w:val="both"/>
      </w:pPr>
      <w:r>
        <w:rPr>
          <w:rFonts w:ascii="Arial" w:cs="Arial" w:eastAsia="Arial" w:hAnsi="Arial"/>
          <w:sz w:val="24"/>
          <w:szCs w:val="24"/>
        </w:rPr>
        <w:t xml:space="preserve">1. Оценка безопасности и анализ риска пищевых продуктов или продовольственного сырья, полученных из генно-инженерно-модифицированных растений или животных, осуществляется на основании проведенных медико – биологических исследований специально уполномоченного органа в области здравоохранения, определенного Правительством Кыргызской Республики.</w:t>
      </w:r>
    </w:p>
    <w:p>
      <w:pPr>
        <w:spacing w:after="120"/>
        <w:jc w:val="both"/>
      </w:pPr>
      <w:r>
        <w:rPr>
          <w:rFonts w:ascii="Arial" w:cs="Arial" w:eastAsia="Arial" w:hAnsi="Arial"/>
          <w:sz w:val="24"/>
          <w:szCs w:val="24"/>
        </w:rPr>
        <w:t xml:space="preserve">2. Требования к безопасности пищевых продуктов, полученных генно-инженерно-модифицированных (трансгенных) растений и животных, должны соответствовать установленным требованиям.</w:t>
      </w:r>
    </w:p>
    <w:p>
      <w:pPr>
        <w:spacing w:after="120"/>
        <w:jc w:val="both"/>
      </w:pPr>
      <w:r>
        <w:rPr>
          <w:rFonts w:ascii="Arial" w:cs="Arial" w:eastAsia="Arial" w:hAnsi="Arial"/>
          <w:sz w:val="24"/>
          <w:szCs w:val="24"/>
        </w:rPr>
        <w:t xml:space="preserve">3. Содержание генно-инженерно-модифицированных (трансгенных) ратений или животных в пищевых продуктах не должно превышать 0,9%.</w:t>
      </w:r>
    </w:p>
    <w:p>
      <w:pPr>
        <w:spacing w:after="120"/>
        <w:jc w:val="both"/>
      </w:pPr>
      <w:r>
        <w:rPr>
          <w:rFonts w:ascii="Arial" w:cs="Arial" w:eastAsia="Arial" w:hAnsi="Arial"/>
          <w:sz w:val="24"/>
          <w:szCs w:val="24"/>
        </w:rPr>
        <w:t xml:space="preserve">Глава 4. Оценка соответствия пищевых продуктов в процессе их производства, хранения, перевозки, реализации и утилизации требованиям настоящего технического регламента</w:t>
      </w:r>
    </w:p>
    <w:p>
      <w:pPr>
        <w:spacing w:after="120"/>
        <w:jc w:val="both"/>
      </w:pPr>
      <w:r>
        <w:rPr>
          <w:rFonts w:ascii="Arial" w:cs="Arial" w:eastAsia="Arial" w:hAnsi="Arial"/>
          <w:sz w:val="24"/>
          <w:szCs w:val="24"/>
        </w:rPr>
        <w:t xml:space="preserve">Статья 13. Формы оценки соответствия пищевых продуктов в процессе их производства, хранения, перевозки, реализации и утилизации требованиям настоящего технического регламента</w:t>
      </w:r>
    </w:p>
    <w:p>
      <w:pPr>
        <w:spacing w:after="120"/>
        <w:jc w:val="both"/>
      </w:pPr>
      <w:r>
        <w:rPr>
          <w:rFonts w:ascii="Arial" w:cs="Arial" w:eastAsia="Arial" w:hAnsi="Arial"/>
          <w:sz w:val="24"/>
          <w:szCs w:val="24"/>
        </w:rPr>
        <w:t xml:space="preserve">1. Оценка соответствия пищевых продуктов требованиям безопасности настоящего технического регламента производится в формах:</w:t>
      </w:r>
    </w:p>
    <w:p>
      <w:pPr>
        <w:spacing w:after="120"/>
        <w:jc w:val="both"/>
      </w:pPr>
      <w:r>
        <w:rPr>
          <w:rFonts w:ascii="Arial" w:cs="Arial" w:eastAsia="Arial" w:hAnsi="Arial"/>
          <w:sz w:val="24"/>
          <w:szCs w:val="24"/>
        </w:rPr>
        <w:t xml:space="preserve">а) проведения государственного надзора;</w:t>
      </w:r>
    </w:p>
    <w:p>
      <w:pPr>
        <w:spacing w:after="120"/>
        <w:jc w:val="both"/>
      </w:pPr>
      <w:r>
        <w:rPr>
          <w:rFonts w:ascii="Arial" w:cs="Arial" w:eastAsia="Arial" w:hAnsi="Arial"/>
          <w:sz w:val="24"/>
          <w:szCs w:val="24"/>
        </w:rPr>
        <w:t xml:space="preserve">б) контроля;</w:t>
      </w:r>
    </w:p>
    <w:p>
      <w:pPr>
        <w:spacing w:after="120"/>
        <w:jc w:val="both"/>
      </w:pPr>
      <w:r>
        <w:rPr>
          <w:rFonts w:ascii="Arial" w:cs="Arial" w:eastAsia="Arial" w:hAnsi="Arial"/>
          <w:sz w:val="24"/>
          <w:szCs w:val="24"/>
        </w:rPr>
        <w:t xml:space="preserve">в) регистрации.</w:t>
      </w:r>
    </w:p>
    <w:p>
      <w:pPr>
        <w:spacing w:after="120"/>
        <w:jc w:val="both"/>
      </w:pPr>
      <w:r>
        <w:rPr>
          <w:rFonts w:ascii="Arial" w:cs="Arial" w:eastAsia="Arial" w:hAnsi="Arial"/>
          <w:sz w:val="24"/>
          <w:szCs w:val="24"/>
        </w:rPr>
        <w:t xml:space="preserve">Статья 14. Идентификация пищевых продуктов</w:t>
      </w:r>
    </w:p>
    <w:p>
      <w:pPr>
        <w:spacing w:after="120"/>
        <w:jc w:val="both"/>
      </w:pPr>
      <w:r>
        <w:rPr>
          <w:rFonts w:ascii="Arial" w:cs="Arial" w:eastAsia="Arial" w:hAnsi="Arial"/>
          <w:sz w:val="24"/>
          <w:szCs w:val="24"/>
        </w:rPr>
        <w:t xml:space="preserve">1. Заявитель обязан представлять для проведения оценки соответствия идентифицированную им продукцию.</w:t>
      </w:r>
    </w:p>
    <w:p>
      <w:pPr>
        <w:spacing w:after="120"/>
        <w:jc w:val="both"/>
      </w:pPr>
      <w:r>
        <w:rPr>
          <w:rFonts w:ascii="Arial" w:cs="Arial" w:eastAsia="Arial" w:hAnsi="Arial"/>
          <w:sz w:val="24"/>
          <w:szCs w:val="24"/>
        </w:rPr>
        <w:t xml:space="preserve">Специальные требования к идентификации могут быть уточнены в специальных технических регламентах.</w:t>
      </w:r>
    </w:p>
    <w:p>
      <w:pPr>
        <w:spacing w:after="120"/>
        <w:jc w:val="both"/>
      </w:pPr>
      <w:r>
        <w:rPr>
          <w:rFonts w:ascii="Arial" w:cs="Arial" w:eastAsia="Arial" w:hAnsi="Arial"/>
          <w:sz w:val="24"/>
          <w:szCs w:val="24"/>
        </w:rPr>
        <w:t xml:space="preserve">Статья 15. Регистрация пищевых продуктов</w:t>
      </w:r>
    </w:p>
    <w:p>
      <w:pPr>
        <w:spacing w:after="120"/>
        <w:jc w:val="both"/>
      </w:pPr>
      <w:r>
        <w:rPr>
          <w:rFonts w:ascii="Arial" w:cs="Arial" w:eastAsia="Arial" w:hAnsi="Arial"/>
          <w:sz w:val="24"/>
          <w:szCs w:val="24"/>
        </w:rPr>
        <w:t xml:space="preserve">1. Регистрация осуществляется в отношении отдельных видов пищевых продуктов:</w:t>
      </w:r>
    </w:p>
    <w:p>
      <w:pPr>
        <w:spacing w:after="120"/>
        <w:jc w:val="both"/>
      </w:pPr>
      <w:r>
        <w:rPr>
          <w:rFonts w:ascii="Arial" w:cs="Arial" w:eastAsia="Arial" w:hAnsi="Arial"/>
          <w:sz w:val="24"/>
          <w:szCs w:val="24"/>
        </w:rPr>
        <w:t xml:space="preserve">- обогащенные пищевые продукты;</w:t>
      </w:r>
    </w:p>
    <w:p>
      <w:pPr>
        <w:spacing w:after="120"/>
        <w:jc w:val="both"/>
      </w:pPr>
      <w:r>
        <w:rPr>
          <w:rFonts w:ascii="Arial" w:cs="Arial" w:eastAsia="Arial" w:hAnsi="Arial"/>
          <w:sz w:val="24"/>
          <w:szCs w:val="24"/>
        </w:rPr>
        <w:t xml:space="preserve">- пищевые добавки, включая биологически активные добавки к пище.</w:t>
      </w:r>
    </w:p>
    <w:p>
      <w:pPr>
        <w:spacing w:after="120"/>
        <w:jc w:val="both"/>
      </w:pPr>
      <w:r>
        <w:rPr>
          <w:rFonts w:ascii="Arial" w:cs="Arial" w:eastAsia="Arial" w:hAnsi="Arial"/>
          <w:sz w:val="24"/>
          <w:szCs w:val="24"/>
        </w:rPr>
        <w:t xml:space="preserve">2. Пищевые продукты, предусмотренные в пункте 1 настоящей статьи, допускаются к производству, хранению, перевозке и реализации после их регистрации в установленном настоящим техническим регламентом порядке.</w:t>
      </w:r>
    </w:p>
    <w:p>
      <w:pPr>
        <w:spacing w:after="120"/>
        <w:jc w:val="both"/>
      </w:pPr>
      <w:r>
        <w:rPr>
          <w:rFonts w:ascii="Arial" w:cs="Arial" w:eastAsia="Arial" w:hAnsi="Arial"/>
          <w:sz w:val="24"/>
          <w:szCs w:val="24"/>
        </w:rPr>
        <w:t xml:space="preserve">3. Пищевые продукты, предусмотренные в пункте 1 настоящей статьи, технологии их производства, а также проекты национальных стандартов и стандартов организаций подлежат научно-технической, правовой, санитарно-эпидемиологической экспертизе в установленном порядке, при котором подтверждается их соответствие настоящему техническому регламенту.</w:t>
      </w:r>
    </w:p>
    <w:p>
      <w:pPr>
        <w:spacing w:after="120"/>
        <w:jc w:val="both"/>
      </w:pPr>
      <w:r>
        <w:rPr>
          <w:rFonts w:ascii="Arial" w:cs="Arial" w:eastAsia="Arial" w:hAnsi="Arial"/>
          <w:sz w:val="24"/>
          <w:szCs w:val="24"/>
        </w:rPr>
        <w:t xml:space="preserve">4. Регистрация пищевых продуктов, предусмотренных в пункте 1 настоящей статьи, проводится на этапе их подготовки к производству на территории Кыргызской Республики (далее- отечественная продукция), а ввозимых – до их ввоза.</w:t>
      </w:r>
    </w:p>
    <w:p>
      <w:pPr>
        <w:spacing w:after="120"/>
        <w:jc w:val="both"/>
      </w:pPr>
      <w:r>
        <w:rPr>
          <w:rFonts w:ascii="Arial" w:cs="Arial" w:eastAsia="Arial" w:hAnsi="Arial"/>
          <w:sz w:val="24"/>
          <w:szCs w:val="24"/>
        </w:rPr>
        <w:t xml:space="preserve">5. Регистрация производится на основании:</w:t>
      </w:r>
    </w:p>
    <w:p>
      <w:pPr>
        <w:spacing w:after="120"/>
        <w:jc w:val="both"/>
      </w:pPr>
      <w:r>
        <w:rPr>
          <w:rFonts w:ascii="Arial" w:cs="Arial" w:eastAsia="Arial" w:hAnsi="Arial"/>
          <w:sz w:val="24"/>
          <w:szCs w:val="24"/>
        </w:rPr>
        <w:t xml:space="preserve">- результатов оценки опасности пищевых продуктов и добавок для человека и среды обитания;</w:t>
      </w:r>
    </w:p>
    <w:p>
      <w:pPr>
        <w:spacing w:after="120"/>
        <w:jc w:val="both"/>
      </w:pPr>
      <w:r>
        <w:rPr>
          <w:rFonts w:ascii="Arial" w:cs="Arial" w:eastAsia="Arial" w:hAnsi="Arial"/>
          <w:sz w:val="24"/>
          <w:szCs w:val="24"/>
        </w:rPr>
        <w:t xml:space="preserve">- установление санитарно-эпидемиологических нормативов содержания веществ отдельных компонентов и продукции;</w:t>
      </w:r>
    </w:p>
    <w:p>
      <w:pPr>
        <w:spacing w:after="120"/>
        <w:jc w:val="both"/>
      </w:pPr>
      <w:r>
        <w:rPr>
          <w:rFonts w:ascii="Arial" w:cs="Arial" w:eastAsia="Arial" w:hAnsi="Arial"/>
          <w:sz w:val="24"/>
          <w:szCs w:val="24"/>
        </w:rPr>
        <w:t xml:space="preserve">- разработки защитных мер, в том числе условий утилизации и уничтожения опасной для здоровья человека продукции, включая, меры по предотвращению ее вредного воздействия на человека и среду обитания.</w:t>
      </w:r>
    </w:p>
    <w:p>
      <w:pPr>
        <w:spacing w:after="120"/>
        <w:jc w:val="both"/>
      </w:pPr>
      <w:r>
        <w:rPr>
          <w:rFonts w:ascii="Arial" w:cs="Arial" w:eastAsia="Arial" w:hAnsi="Arial"/>
          <w:sz w:val="24"/>
          <w:szCs w:val="24"/>
        </w:rPr>
        <w:t xml:space="preserve">6. Оценка опасности пищевых продуктов и добавки предусмотренных в пункте 1 настоящей статьи, для здоровья человека среды обитания определяется по итогам рассмотрения:</w:t>
      </w:r>
    </w:p>
    <w:p>
      <w:pPr>
        <w:spacing w:after="120"/>
        <w:jc w:val="both"/>
      </w:pPr>
      <w:r>
        <w:rPr>
          <w:rFonts w:ascii="Arial" w:cs="Arial" w:eastAsia="Arial" w:hAnsi="Arial"/>
          <w:sz w:val="24"/>
          <w:szCs w:val="24"/>
        </w:rPr>
        <w:t xml:space="preserve">- документов, представляемых заявителем;</w:t>
      </w:r>
    </w:p>
    <w:p>
      <w:pPr>
        <w:spacing w:after="120"/>
        <w:jc w:val="both"/>
      </w:pPr>
      <w:r>
        <w:rPr>
          <w:rFonts w:ascii="Arial" w:cs="Arial" w:eastAsia="Arial" w:hAnsi="Arial"/>
          <w:sz w:val="24"/>
          <w:szCs w:val="24"/>
        </w:rPr>
        <w:t xml:space="preserve">- результатов исследований (испытаний) и санитарно-эпидемиологических экспертиз, проводимых организациями и экспертами согласно их компетенции.</w:t>
      </w:r>
    </w:p>
    <w:p>
      <w:pPr>
        <w:spacing w:after="120"/>
        <w:jc w:val="both"/>
      </w:pPr>
      <w:r>
        <w:rPr>
          <w:rFonts w:ascii="Arial" w:cs="Arial" w:eastAsia="Arial" w:hAnsi="Arial"/>
          <w:sz w:val="24"/>
          <w:szCs w:val="24"/>
        </w:rPr>
        <w:t xml:space="preserve">7. Порядок регистрации и ведения государственного реестра разрабатывается регистрационным органом и утверждается Правительством Кыргызской Республики.</w:t>
      </w:r>
    </w:p>
    <w:p>
      <w:pPr>
        <w:spacing w:after="120"/>
        <w:jc w:val="both"/>
      </w:pPr>
      <w:r>
        <w:rPr>
          <w:rFonts w:ascii="Arial" w:cs="Arial" w:eastAsia="Arial" w:hAnsi="Arial"/>
          <w:sz w:val="24"/>
          <w:szCs w:val="24"/>
        </w:rPr>
        <w:t xml:space="preserve">Статья 16. Государственный надзор за соблюдением требований настоящего технического регламента</w:t>
      </w:r>
    </w:p>
    <w:p>
      <w:pPr>
        <w:spacing w:after="120"/>
        <w:jc w:val="both"/>
      </w:pPr>
      <w:r>
        <w:rPr>
          <w:rFonts w:ascii="Arial" w:cs="Arial" w:eastAsia="Arial" w:hAnsi="Arial"/>
          <w:sz w:val="24"/>
          <w:szCs w:val="24"/>
        </w:rPr>
        <w:t xml:space="preserve">1. Государственный надзор за соблюдением технического регламента проводится уполномоченными органами исполнительной власти в соответствии с компетенцией, установленной Правительством Кыргызской Республики в отношении пищевых продуктов и процессов их производства, хранения, перевозки, реализации и утилизации осуществляется в установленном порядке.</w:t>
      </w:r>
    </w:p>
    <w:p>
      <w:pPr>
        <w:spacing w:after="120"/>
        <w:jc w:val="both"/>
      </w:pPr>
      <w:r>
        <w:rPr>
          <w:rFonts w:ascii="Arial" w:cs="Arial" w:eastAsia="Arial" w:hAnsi="Arial"/>
          <w:sz w:val="24"/>
          <w:szCs w:val="24"/>
        </w:rPr>
        <w:t xml:space="preserve">2. Государственный надзор за пищевыми продуктами и процессами их производства, хранения, перевозки, реализации и утилизации осуществляется на всех стадиях обращения.</w:t>
      </w:r>
    </w:p>
    <w:p>
      <w:pPr>
        <w:spacing w:after="120"/>
        <w:jc w:val="both"/>
      </w:pPr>
      <w:r>
        <w:rPr>
          <w:rFonts w:ascii="Arial" w:cs="Arial" w:eastAsia="Arial" w:hAnsi="Arial"/>
          <w:sz w:val="24"/>
          <w:szCs w:val="24"/>
        </w:rPr>
        <w:t xml:space="preserve">Статья 17. Контроль</w:t>
      </w:r>
    </w:p>
    <w:p>
      <w:pPr>
        <w:spacing w:after="120"/>
        <w:jc w:val="both"/>
      </w:pPr>
      <w:r>
        <w:rPr>
          <w:rFonts w:ascii="Arial" w:cs="Arial" w:eastAsia="Arial" w:hAnsi="Arial"/>
          <w:sz w:val="24"/>
          <w:szCs w:val="24"/>
        </w:rPr>
        <w:t xml:space="preserve">1. Физические и юридические лица, осуществляющие производство, должны создать, документировать, внедрить и поддерживать в рабочем состоянии эффективную систему менеджмента безопасности пищевых продуктов. Осуществлять производственный контроль на каждом этапе производственно-технологического процесса на основе системы анализа опасных рисков и юридических контрольных точек или системы менеджмента безопасности пищевых продуктов.</w:t>
      </w:r>
    </w:p>
    <w:p>
      <w:pPr>
        <w:spacing w:after="120"/>
        <w:jc w:val="both"/>
      </w:pPr>
      <w:r>
        <w:rPr>
          <w:rFonts w:ascii="Arial" w:cs="Arial" w:eastAsia="Arial" w:hAnsi="Arial"/>
          <w:sz w:val="24"/>
          <w:szCs w:val="24"/>
        </w:rPr>
        <w:t xml:space="preserve">2. Программа производственного контроля должна содержать:</w:t>
      </w:r>
    </w:p>
    <w:p>
      <w:pPr>
        <w:spacing w:after="120"/>
        <w:jc w:val="both"/>
      </w:pPr>
      <w:r>
        <w:rPr>
          <w:rFonts w:ascii="Arial" w:cs="Arial" w:eastAsia="Arial" w:hAnsi="Arial"/>
          <w:sz w:val="24"/>
          <w:szCs w:val="24"/>
        </w:rPr>
        <w:t xml:space="preserve">- контролируемые параметры технологических процессов;</w:t>
      </w:r>
    </w:p>
    <w:p>
      <w:pPr>
        <w:spacing w:after="120"/>
        <w:jc w:val="both"/>
      </w:pPr>
      <w:r>
        <w:rPr>
          <w:rFonts w:ascii="Arial" w:cs="Arial" w:eastAsia="Arial" w:hAnsi="Arial"/>
          <w:sz w:val="24"/>
          <w:szCs w:val="24"/>
        </w:rPr>
        <w:t xml:space="preserve">- периодичность лабораторного производственного контроля сырья, компонентов, готовой продукции по требованиям безопасности;</w:t>
      </w:r>
    </w:p>
    <w:p>
      <w:pPr>
        <w:spacing w:after="120"/>
        <w:jc w:val="both"/>
      </w:pPr>
      <w:r>
        <w:rPr>
          <w:rFonts w:ascii="Arial" w:cs="Arial" w:eastAsia="Arial" w:hAnsi="Arial"/>
          <w:sz w:val="24"/>
          <w:szCs w:val="24"/>
        </w:rPr>
        <w:t xml:space="preserve">- графики и режимы мойки, уборки, дезинфекции и дератизации;</w:t>
      </w:r>
    </w:p>
    <w:p>
      <w:pPr>
        <w:spacing w:after="120"/>
        <w:jc w:val="both"/>
      </w:pPr>
      <w:r>
        <w:rPr>
          <w:rFonts w:ascii="Arial" w:cs="Arial" w:eastAsia="Arial" w:hAnsi="Arial"/>
          <w:sz w:val="24"/>
          <w:szCs w:val="24"/>
        </w:rPr>
        <w:t xml:space="preserve">- графики и режимы технологического обслуживания оборудования и инвентаря;</w:t>
      </w:r>
    </w:p>
    <w:p>
      <w:pPr>
        <w:spacing w:after="120"/>
        <w:jc w:val="both"/>
      </w:pPr>
      <w:r>
        <w:rPr>
          <w:rFonts w:ascii="Arial" w:cs="Arial" w:eastAsia="Arial" w:hAnsi="Arial"/>
          <w:sz w:val="24"/>
          <w:szCs w:val="24"/>
        </w:rPr>
        <w:t xml:space="preserve">- пути возврата, доработки и переработки продукции;</w:t>
      </w:r>
    </w:p>
    <w:p>
      <w:pPr>
        <w:spacing w:after="120"/>
        <w:jc w:val="both"/>
      </w:pPr>
      <w:r>
        <w:rPr>
          <w:rFonts w:ascii="Arial" w:cs="Arial" w:eastAsia="Arial" w:hAnsi="Arial"/>
          <w:sz w:val="24"/>
          <w:szCs w:val="24"/>
        </w:rPr>
        <w:t xml:space="preserve">- мероприятия по обеспечению гигиены персонала;</w:t>
      </w:r>
    </w:p>
    <w:p>
      <w:pPr>
        <w:spacing w:after="120"/>
        <w:jc w:val="both"/>
      </w:pPr>
      <w:r>
        <w:rPr>
          <w:rFonts w:ascii="Arial" w:cs="Arial" w:eastAsia="Arial" w:hAnsi="Arial"/>
          <w:sz w:val="24"/>
          <w:szCs w:val="24"/>
        </w:rPr>
        <w:t xml:space="preserve">- контролируемые пункты потенциальных загрязнителей (критические контрольные точки);</w:t>
      </w:r>
    </w:p>
    <w:p>
      <w:pPr>
        <w:spacing w:after="120"/>
        <w:jc w:val="both"/>
      </w:pPr>
      <w:r>
        <w:rPr>
          <w:rFonts w:ascii="Arial" w:cs="Arial" w:eastAsia="Arial" w:hAnsi="Arial"/>
          <w:sz w:val="24"/>
          <w:szCs w:val="24"/>
        </w:rPr>
        <w:t xml:space="preserve">- процедуру отзыва (изъятия из оборота) продукции;</w:t>
      </w:r>
    </w:p>
    <w:p>
      <w:pPr>
        <w:spacing w:after="120"/>
        <w:jc w:val="both"/>
      </w:pPr>
      <w:r>
        <w:rPr>
          <w:rFonts w:ascii="Arial" w:cs="Arial" w:eastAsia="Arial" w:hAnsi="Arial"/>
          <w:sz w:val="24"/>
          <w:szCs w:val="24"/>
        </w:rPr>
        <w:t xml:space="preserve">- другие режимы, программа и процедуры.</w:t>
      </w:r>
    </w:p>
    <w:p>
      <w:pPr>
        <w:spacing w:after="120"/>
        <w:jc w:val="both"/>
      </w:pPr>
      <w:r>
        <w:rPr>
          <w:rFonts w:ascii="Arial" w:cs="Arial" w:eastAsia="Arial" w:hAnsi="Arial"/>
          <w:sz w:val="24"/>
          <w:szCs w:val="24"/>
        </w:rPr>
        <w:t xml:space="preserve">3. Для размещения продукции на рынке физические и юридические лица должны получить документ (один раз, из одного органа, если иное не предусмотрено техническим регламентом на конкретную продукцию), подтверждающих соответствие продукции требованиям технического регламента на данную продукцию. Таким документом является заключение санитарно-эпидемиологической, фитосанитарной и ветеринарной служб.</w:t>
      </w:r>
    </w:p>
    <w:p>
      <w:pPr>
        <w:spacing w:after="120"/>
        <w:jc w:val="both"/>
      </w:pPr>
      <w:r>
        <w:rPr>
          <w:rFonts w:ascii="Arial" w:cs="Arial" w:eastAsia="Arial" w:hAnsi="Arial"/>
          <w:sz w:val="24"/>
          <w:szCs w:val="24"/>
        </w:rPr>
        <w:t xml:space="preserve">Продукция, производимая и ввозимая на территории Кыргызской Республики, перед размещением на рынке подлежит обязательному санитарно-эпидемиологическому, фитосанитарному и ветеринарному контролю. При этом не допускается осуществление контроля по одному тому же показателю разными органами контроля.</w:t>
      </w:r>
    </w:p>
    <w:p>
      <w:pPr>
        <w:spacing w:after="120"/>
        <w:jc w:val="both"/>
      </w:pPr>
      <w:r>
        <w:rPr>
          <w:rFonts w:ascii="Arial" w:cs="Arial" w:eastAsia="Arial" w:hAnsi="Arial"/>
          <w:sz w:val="24"/>
          <w:szCs w:val="24"/>
        </w:rPr>
        <w:t xml:space="preserve">Порядок и процедуры контроля определяются Правительством Кыргызской Республики.</w:t>
      </w:r>
    </w:p>
    <w:p>
      <w:pPr>
        <w:spacing w:after="120"/>
        <w:jc w:val="both"/>
      </w:pPr>
      <w:r>
        <w:rPr>
          <w:rFonts w:ascii="Arial" w:cs="Arial" w:eastAsia="Arial" w:hAnsi="Arial"/>
          <w:sz w:val="24"/>
          <w:szCs w:val="24"/>
        </w:rPr>
        <w:t xml:space="preserve">Статья 18. Знак соответствия техническим регламентам</w:t>
      </w:r>
    </w:p>
    <w:p>
      <w:pPr>
        <w:spacing w:after="120"/>
        <w:jc w:val="both"/>
      </w:pPr>
      <w:r>
        <w:rPr>
          <w:rFonts w:ascii="Arial" w:cs="Arial" w:eastAsia="Arial" w:hAnsi="Arial"/>
          <w:sz w:val="24"/>
          <w:szCs w:val="24"/>
        </w:rPr>
        <w:t xml:space="preserve">1. Продовольственное сырье, пищевая продукция, соответствие которой требованиям настоящего технического регламента подтверждено в порядке, предусмотренном соответствующим техническим регламентом, маркируется знаком соответствия техническому регламенту, принятому в установленном порядке.</w:t>
      </w:r>
    </w:p>
    <w:p>
      <w:pPr>
        <w:spacing w:after="120"/>
        <w:jc w:val="both"/>
      </w:pPr>
      <w:r>
        <w:rPr>
          <w:rFonts w:ascii="Arial" w:cs="Arial" w:eastAsia="Arial" w:hAnsi="Arial"/>
          <w:sz w:val="24"/>
          <w:szCs w:val="24"/>
        </w:rPr>
        <w:t xml:space="preserve">2. Изображение знака соответствия техническим регламентам наносится в информационных целях на сопроводительную документацию и/или – на потребительскую упаковку и/или на транспортную упаковку.</w:t>
      </w:r>
    </w:p>
    <w:p>
      <w:pPr>
        <w:spacing w:after="120"/>
        <w:jc w:val="both"/>
      </w:pPr>
      <w:r>
        <w:rPr>
          <w:rFonts w:ascii="Arial" w:cs="Arial" w:eastAsia="Arial" w:hAnsi="Arial"/>
          <w:sz w:val="24"/>
          <w:szCs w:val="24"/>
        </w:rPr>
        <w:t xml:space="preserve">Глава 5. Ответственность за нарушение требований настоящего технического регламента</w:t>
      </w:r>
    </w:p>
    <w:p>
      <w:pPr>
        <w:spacing w:after="120"/>
        <w:jc w:val="both"/>
      </w:pPr>
      <w:r>
        <w:rPr>
          <w:rFonts w:ascii="Arial" w:cs="Arial" w:eastAsia="Arial" w:hAnsi="Arial"/>
          <w:sz w:val="24"/>
          <w:szCs w:val="24"/>
        </w:rPr>
        <w:t xml:space="preserve">Статья 19. Ответственность за нарушение требования настоящего технического регламента</w:t>
      </w:r>
    </w:p>
    <w:p>
      <w:pPr>
        <w:spacing w:after="120"/>
        <w:jc w:val="both"/>
      </w:pPr>
      <w:r>
        <w:rPr>
          <w:rFonts w:ascii="Arial" w:cs="Arial" w:eastAsia="Arial" w:hAnsi="Arial"/>
          <w:sz w:val="24"/>
          <w:szCs w:val="24"/>
        </w:rPr>
        <w:t xml:space="preserve">За нарушение требований настоящего технического регламента физическим и юридическим лицам, занимающимся ввозом, реализации производствам, транспортировкой, хранением продовольственного сырья и продуктов питания, органам по оценке соответствия и уполномоченным государственным органам, осуществляющим государственный надзор принимаются меры в соответствии с законодательством Кыргызской Республики.</w:t>
      </w:r>
    </w:p>
    <w:p>
      <w:pPr>
        <w:spacing w:after="120"/>
        <w:jc w:val="both"/>
      </w:pPr>
      <w:r>
        <w:rPr>
          <w:rFonts w:ascii="Arial" w:cs="Arial" w:eastAsia="Arial" w:hAnsi="Arial"/>
          <w:sz w:val="24"/>
          <w:szCs w:val="24"/>
        </w:rPr>
        <w:t xml:space="preserve">Глава 6. Заключительные и переходные положения</w:t>
      </w:r>
    </w:p>
    <w:p>
      <w:pPr>
        <w:spacing w:after="120"/>
        <w:jc w:val="both"/>
      </w:pPr>
      <w:r>
        <w:rPr>
          <w:rFonts w:ascii="Arial" w:cs="Arial" w:eastAsia="Arial" w:hAnsi="Arial"/>
          <w:sz w:val="24"/>
          <w:szCs w:val="24"/>
        </w:rPr>
        <w:t xml:space="preserve">Статья 20. Переходные положения</w:t>
      </w:r>
    </w:p>
    <w:p>
      <w:pPr>
        <w:spacing w:after="120"/>
        <w:jc w:val="both"/>
      </w:pPr>
      <w:r>
        <w:rPr>
          <w:rFonts w:ascii="Arial" w:cs="Arial" w:eastAsia="Arial" w:hAnsi="Arial"/>
          <w:sz w:val="24"/>
          <w:szCs w:val="24"/>
        </w:rPr>
        <w:t xml:space="preserve">1. Со дня вступления в силу настоящего технического регламента до разработки специальных технических регламентов, устанавливающие специальные требования к продовольственному сырью, отдельным видам пищевых продуктов, обращению продукции, действуют требования установленные нормативными правовыми актами Кыргызской Республики и нормативными документами государственных органов исполнительной власти, действующих в части, определенной настоящим техническим регламентом.</w:t>
      </w:r>
    </w:p>
    <w:p>
      <w:pPr>
        <w:spacing w:after="120"/>
        <w:jc w:val="both"/>
      </w:pPr>
      <w:r>
        <w:rPr>
          <w:rFonts w:ascii="Arial" w:cs="Arial" w:eastAsia="Arial" w:hAnsi="Arial"/>
          <w:sz w:val="24"/>
          <w:szCs w:val="24"/>
        </w:rPr>
        <w:t xml:space="preserve">2. Документы, подтверждающие соответствие (сертификатов соответствия, декларации о соответствии), свидетельство о регистрации, полученные в установленном порядке до вступления в силу настоящего технического регламента, считаются действительными до окончания срока, установленного в них.</w:t>
      </w:r>
    </w:p>
    <w:p>
      <w:pPr>
        <w:spacing w:after="120"/>
        <w:jc w:val="both"/>
      </w:pPr>
      <w:r>
        <w:rPr>
          <w:rFonts w:ascii="Arial" w:cs="Arial" w:eastAsia="Arial" w:hAnsi="Arial"/>
          <w:sz w:val="24"/>
          <w:szCs w:val="24"/>
        </w:rPr>
        <w:t xml:space="preserve">3. С принятием технических регламентов по видам продукции требования по показателям безопасности, установленные настоящим техническим регламентом, на эти виды продукции теряют силу.</w:t>
      </w:r>
    </w:p>
    <w:p>
      <w:pPr>
        <w:spacing w:after="120"/>
        <w:jc w:val="both"/>
      </w:pPr>
      <w:r>
        <w:rPr>
          <w:rFonts w:ascii="Arial" w:cs="Arial" w:eastAsia="Arial" w:hAnsi="Arial"/>
          <w:sz w:val="24"/>
          <w:szCs w:val="24"/>
        </w:rPr>
        <w:t xml:space="preserve">Статья 21. Приведение нормативно правовых актов в соответствие с настоящим техническим регламентом</w:t>
      </w:r>
    </w:p>
    <w:p>
      <w:pPr>
        <w:spacing w:after="120"/>
        <w:jc w:val="both"/>
      </w:pPr>
      <w:r>
        <w:rPr>
          <w:rFonts w:ascii="Arial" w:cs="Arial" w:eastAsia="Arial" w:hAnsi="Arial"/>
          <w:sz w:val="24"/>
          <w:szCs w:val="24"/>
        </w:rPr>
        <w:t xml:space="preserve">Правительству Кыргызской Республики привести нормативные правовые акты, касающиеся безопасности пищевой продукции, в соответствие с настоящим техническим регламентом.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Вступления в силу требований настоящего технического регламента</w:t>
      </w:r>
    </w:p>
    <w:p>
      <w:pPr>
        <w:spacing w:after="120"/>
        <w:jc w:val="both"/>
      </w:pPr>
      <w:r>
        <w:rPr>
          <w:rFonts w:ascii="Arial" w:cs="Arial" w:eastAsia="Arial" w:hAnsi="Arial"/>
          <w:sz w:val="24"/>
          <w:szCs w:val="24"/>
        </w:rPr>
        <w:t xml:space="preserve">Настоящий технический регламент вступает в силу по истечении шести месяцев со дня его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pqvoziz2sdzba_ho28po">
      <w:r>
        <w:rPr>
          <w:rFonts w:ascii="Arial" w:cs="Arial" w:eastAsia="Arial" w:hAnsi="Arial"/>
          <w:color w:val="132D3F"/>
          <w:sz w:val="16"/>
          <w:szCs w:val="16"/>
          <w:u w:val="single"/>
        </w:rPr>
        <w:t xml:space="preserve">dalil.kg/document/96647</w:t>
      </w:r>
    </w:hyperlink>
  </w:p>
  <w:p>
    <w:pPr>
      <w:spacing w:after="0" w:before="40"/>
      <w:jc w:val="center"/>
    </w:pPr>
    <w:hyperlink w:history="1" r:id="rIddaqvderomibrgpv8s9t0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trbekj-cq1a19jrmekb1" Type="http://schemas.openxmlformats.org/officeDocument/2006/relationships/hyperlink" Target="https://dalil.kg/document/93063" TargetMode="External"/><Relationship Id="rIddt7hyf9jmv23kfwm3qd-c" Type="http://schemas.openxmlformats.org/officeDocument/2006/relationships/hyperlink" Target="https://dalil.kg/document/1" TargetMode="External"/><Relationship Id="rIdeze0ymmxgh93j3zgpgwez" Type="http://schemas.openxmlformats.org/officeDocument/2006/relationships/hyperlink" Target="https://dalil.kg/document/96647#&#1088;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pqvoziz2sdzba_ho28po" Type="http://schemas.openxmlformats.org/officeDocument/2006/relationships/hyperlink" Target="https://dalil.kg/document/96647" TargetMode="External"/><Relationship Id="rIddaqvderomibrgpv8s9t0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2026-10-04T09:18:57.355Z</dcterms:created>
  <dcterms:modified xsi:type="dcterms:W3CDTF">2026-10-04T09:18:57.355Z</dcterms:modified>
</cp:coreProperties>
</file>

<file path=docProps/custom.xml><?xml version="1.0" encoding="utf-8"?>
<Properties xmlns="http://schemas.openxmlformats.org/officeDocument/2006/custom-properties" xmlns:vt="http://schemas.openxmlformats.org/officeDocument/2006/docPropsVTypes"/>
</file>