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gygcgxrrmcydwheqzwe4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 от 5 августа 2014 года № 446</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международной гуманитарной помощи"</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7swelugzazlimemkokvki">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zyrfhrooka_fxzuskwcle">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международной гуманитарной помощи", инициированный депутатами Жогорку Кенеша Кыргызской Республики Э.Джумалиевой, К.Самаковым, Д.Ниязалиевой, М.Тиленчиевой, А.Баатырбековым, Э.Иманкожоевой, Э.Исаковым, Т.Левиной, Г.Жамгырчиевой и А.Режавалиевым.</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 Оторбаев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w:t>
      </w:r>
      <w:r>
        <w:rPr>
          <w:rFonts w:ascii="Arial" w:cs="Arial" w:eastAsia="Arial" w:hAnsi="Arial"/>
          <w:sz w:val="24"/>
          <w:szCs w:val="24"/>
        </w:rPr>
        <w:t xml:space="preserve">добрено </w:t>
      </w:r>
      <w:hyperlink w:history="1" r:id="rIdg17wucyrxcd_xjud1poe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августа 2014 года № 446</w:t>
      </w:r>
    </w:p>
    <w:p>
      <w:pPr>
        <w:spacing w:after="120"/>
        <w:jc w:val="both"/>
      </w:pPr>
      <w:r>
        <w:rPr>
          <w:rFonts w:ascii="Arial" w:cs="Arial" w:eastAsia="Arial" w:hAnsi="Arial"/>
          <w:sz w:val="24"/>
          <w:szCs w:val="24"/>
        </w:rPr>
        <w:t xml:space="preserve">ЗАКЛЮЧЕНИЕ</w:t>
      </w:r>
      <w:r>
        <w:rPr>
          <w:rFonts w:ascii="Arial" w:cs="Arial" w:eastAsia="Arial" w:hAnsi="Arial"/>
          <w:sz w:val="24"/>
          <w:szCs w:val="24"/>
        </w:rPr>
        <w:t xml:space="preserve">
 Правительства Кыргызской Республики на проект Закона Кыргызской Республики "О международной гуманитарной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rwtt5xvippbxq5th-wy-h">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международной гуманитарной помощи", инициированный депутатами Жогорку Кенеша Кыргызской Республики Э.Джумалиевой, К.Самаковым, Д.Ниязалиевой, М.Тиленчиевой, А.Баатырбековым, Э.Иманкожоевой, Э.Исаковым, Т.Левиной, Г.Жамгырчиевой и А.Режавалиевым, Правительство Кыргызской Республики приходит к следующему заключению.</w:t>
      </w:r>
    </w:p>
    <w:p>
      <w:pPr>
        <w:spacing w:after="120"/>
        <w:jc w:val="both"/>
      </w:pPr>
      <w:r>
        <w:rPr>
          <w:rFonts w:ascii="Arial" w:cs="Arial" w:eastAsia="Arial" w:hAnsi="Arial"/>
          <w:sz w:val="24"/>
          <w:szCs w:val="24"/>
        </w:rPr>
        <w:t xml:space="preserve">Представленный проект Закона разработан в целях создания правовых, организационных, социальных основ для ввоза международной гуманитарной помощи и направлен на упорядочение поставки международной гуманитарной помощи в республику.</w:t>
      </w:r>
    </w:p>
    <w:p>
      <w:pPr>
        <w:spacing w:after="120"/>
        <w:jc w:val="both"/>
      </w:pPr>
      <w:r>
        <w:rPr>
          <w:rFonts w:ascii="Arial" w:cs="Arial" w:eastAsia="Arial" w:hAnsi="Arial"/>
          <w:sz w:val="24"/>
          <w:szCs w:val="24"/>
        </w:rPr>
        <w:t xml:space="preserve">Согласно части 1 статьи 1 проекта Закона, он также определяет правовые, организационные и социальные основы транзита международной гуманитарной помощи через территорию Кыргызской Республики.</w:t>
      </w:r>
    </w:p>
    <w:p>
      <w:pPr>
        <w:spacing w:after="120"/>
        <w:jc w:val="both"/>
      </w:pPr>
      <w:r>
        <w:rPr>
          <w:rFonts w:ascii="Arial" w:cs="Arial" w:eastAsia="Arial" w:hAnsi="Arial"/>
          <w:sz w:val="24"/>
          <w:szCs w:val="24"/>
        </w:rPr>
        <w:t xml:space="preserve">Вместе с тем вопросы транзита гуманитарной помощи в проекте не раскрываются.</w:t>
      </w:r>
    </w:p>
    <w:p>
      <w:pPr>
        <w:spacing w:after="120"/>
        <w:jc w:val="both"/>
      </w:pPr>
      <w:r>
        <w:rPr>
          <w:rFonts w:ascii="Arial" w:cs="Arial" w:eastAsia="Arial" w:hAnsi="Arial"/>
          <w:sz w:val="24"/>
          <w:szCs w:val="24"/>
        </w:rPr>
        <w:t xml:space="preserve">Статья 2 проекта устанавливает основные термины, понятия и определения, используемые в проекте Закона.</w:t>
      </w:r>
    </w:p>
    <w:p>
      <w:pPr>
        <w:spacing w:after="120"/>
        <w:jc w:val="both"/>
      </w:pPr>
      <w:r>
        <w:rPr>
          <w:rFonts w:ascii="Arial" w:cs="Arial" w:eastAsia="Arial" w:hAnsi="Arial"/>
          <w:sz w:val="24"/>
          <w:szCs w:val="24"/>
        </w:rPr>
        <w:t xml:space="preserve">В связи с этим считаем необходимым использование единой терминологии по всему тексту проекта Закона.</w:t>
      </w:r>
    </w:p>
    <w:p>
      <w:pPr>
        <w:spacing w:after="120"/>
        <w:jc w:val="both"/>
      </w:pPr>
      <w:r>
        <w:rPr>
          <w:rFonts w:ascii="Arial" w:cs="Arial" w:eastAsia="Arial" w:hAnsi="Arial"/>
          <w:sz w:val="24"/>
          <w:szCs w:val="24"/>
        </w:rPr>
        <w:t xml:space="preserve">В соответствии с законодательством Кыргызской Республики чрезвычайные ситуации по характеру их проявления подразделяются на чрезвычайные ситуации природного характера, техногенного характера, экологического характера, биолого-социального характера и конфликтного характера. В связи с этим в пункте 1 статьи 2 проекта Закона слова "стихийных бедствий" предлагаем заменить словами "чрезвычайных ситуаций", слова "и других чрезвычайных происшествий природного и техногенного характера, эпидемий и эпизоотий" исключить. Соответствующие изменения внести по всему тексту проекта Закона.</w:t>
      </w:r>
    </w:p>
    <w:p>
      <w:pPr>
        <w:spacing w:after="120"/>
        <w:jc w:val="both"/>
      </w:pPr>
      <w:r>
        <w:rPr>
          <w:rFonts w:ascii="Arial" w:cs="Arial" w:eastAsia="Arial" w:hAnsi="Arial"/>
          <w:sz w:val="24"/>
          <w:szCs w:val="24"/>
        </w:rPr>
        <w:t xml:space="preserve">Пункт 3 статьи 2 проекта Закона после слова "иные" предлагаем дополнить словом "иностранные", слово "происшествия" заменить словом "ситуации".</w:t>
      </w:r>
    </w:p>
    <w:p>
      <w:pPr>
        <w:spacing w:after="120"/>
        <w:jc w:val="both"/>
      </w:pPr>
      <w:r>
        <w:rPr>
          <w:rFonts w:ascii="Arial" w:cs="Arial" w:eastAsia="Arial" w:hAnsi="Arial"/>
          <w:sz w:val="24"/>
          <w:szCs w:val="24"/>
        </w:rPr>
        <w:t xml:space="preserve">Пункт 7 указанной статьи определяет термин "получатель (распределитель) международной гуманитарной помощи", к которым относятся субъекты Кыргызской Республики, в том числе органы государственной власти и органы местного самоуправления, некоммерческие организации, юридические лица, их филиалы и представительства, а также другие юридические и физические лица Кыргызской Республики, получающие гуманитарную помощь для дальнейшего распределения.</w:t>
      </w:r>
    </w:p>
    <w:p>
      <w:pPr>
        <w:spacing w:after="120"/>
        <w:jc w:val="both"/>
      </w:pPr>
      <w:r>
        <w:rPr>
          <w:rFonts w:ascii="Arial" w:cs="Arial" w:eastAsia="Arial" w:hAnsi="Arial"/>
          <w:sz w:val="24"/>
          <w:szCs w:val="24"/>
        </w:rPr>
        <w:t xml:space="preserve">Во избежание противоречивой практики применения норм проекта Закона предлагаем уточнить понятие "субъекты Кыргызской Республики", а также "другие юридические лица", поскольку вышеназванный термин уже включает юридические лица, их филиалы и представительства в перечень получателей (распределителей) международной гуманитарной помощи. Также отмечаем неясность данной нормы в отношении физических лиц Кыргызской Республики, которые могут выступать распределителями международной гуманитарной помощи.</w:t>
      </w:r>
    </w:p>
    <w:p>
      <w:pPr>
        <w:spacing w:after="120"/>
        <w:jc w:val="both"/>
      </w:pPr>
      <w:r>
        <w:rPr>
          <w:rFonts w:ascii="Arial" w:cs="Arial" w:eastAsia="Arial" w:hAnsi="Arial"/>
          <w:sz w:val="24"/>
          <w:szCs w:val="24"/>
        </w:rPr>
        <w:t xml:space="preserve">Часть 2 статьи 3 проекта Закона предусматривает, что если вступившими в установленном законом порядке в силу международными договорами и соглашениями, участником которых является Кыргызская Республика, а также общепризнанными принципами и нормами международного права установлены иные правила, чем те, которые содержатся в настоящем Законе, то применяются общепризнанные принципы и нормы международного права, правила международных договоров и соглашений.</w:t>
      </w:r>
    </w:p>
    <w:p>
      <w:pPr>
        <w:spacing w:after="120"/>
        <w:jc w:val="both"/>
      </w:pPr>
      <w:r>
        <w:rPr>
          <w:rFonts w:ascii="Arial" w:cs="Arial" w:eastAsia="Arial" w:hAnsi="Arial"/>
          <w:sz w:val="24"/>
          <w:szCs w:val="24"/>
        </w:rPr>
        <w:t xml:space="preserve">Вместе с тем, согласно </w:t>
      </w:r>
      <w:r>
        <w:rPr>
          <w:rFonts w:ascii="Arial" w:cs="Arial" w:eastAsia="Arial" w:hAnsi="Arial"/>
          <w:sz w:val="24"/>
          <w:szCs w:val="24"/>
        </w:rPr>
        <w:t xml:space="preserve">статье 6</w:t>
      </w:r>
      <w:r>
        <w:rPr>
          <w:rFonts w:ascii="Arial" w:cs="Arial" w:eastAsia="Arial" w:hAnsi="Arial"/>
          <w:sz w:val="24"/>
          <w:szCs w:val="24"/>
        </w:rPr>
        <w:t xml:space="preserve"> </w:t>
      </w:r>
      <w:hyperlink w:history="1" r:id="rIdr8j6patlawq-bvvu6wdr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 В связи с этим придание международным договорам и нормам более высокой юридической силы по сравнению с национальным законодательством полагаем нецелесообразным.</w:t>
      </w:r>
    </w:p>
    <w:p>
      <w:pPr>
        <w:spacing w:after="120"/>
        <w:jc w:val="both"/>
      </w:pPr>
      <w:r>
        <w:rPr>
          <w:rFonts w:ascii="Arial" w:cs="Arial" w:eastAsia="Arial" w:hAnsi="Arial"/>
          <w:sz w:val="24"/>
          <w:szCs w:val="24"/>
        </w:rPr>
        <w:t xml:space="preserve">Исходя из общего смысла проекта Закона, он определяет правовые организационные и социальные основы получения, распределения и использования международной гуманитарной помощи, т.е. помощи, оказываемой иностранными государствами и их субъектами, международными гуманитарными организациями. При этом получателями указанной помощи, согласно проекту Закона, являются органы государственной власти и органы местного самоуправления, некоммерческие организации, юридические и физические лица Кыргызской Республики.</w:t>
      </w:r>
    </w:p>
    <w:p>
      <w:pPr>
        <w:spacing w:after="120"/>
        <w:jc w:val="both"/>
      </w:pPr>
      <w:r>
        <w:rPr>
          <w:rFonts w:ascii="Arial" w:cs="Arial" w:eastAsia="Arial" w:hAnsi="Arial"/>
          <w:sz w:val="24"/>
          <w:szCs w:val="24"/>
        </w:rPr>
        <w:t xml:space="preserve">В связи с этим неясна цель статьи 5 проекта Закона, регламентирующей вопросы предоставления международной гуманитарной помощи Кыргызской Республикой, а также определения "отечественная (внутренняя) гуманитарная помощь", как разновидности благотворительной деятельности. При этом следует отметить, что правовые основы благотворительной деятельности определяются Законом Кыргызской Республики "О меценатстве и благотворительной деятельности".</w:t>
      </w:r>
    </w:p>
    <w:p>
      <w:pPr>
        <w:spacing w:after="120"/>
        <w:jc w:val="both"/>
      </w:pPr>
      <w:r>
        <w:rPr>
          <w:rFonts w:ascii="Arial" w:cs="Arial" w:eastAsia="Arial" w:hAnsi="Arial"/>
          <w:sz w:val="24"/>
          <w:szCs w:val="24"/>
        </w:rPr>
        <w:t xml:space="preserve">Кроме того, оказание гуманитарной помощи в целях укрепления международных позиций и авторитета страны, предусмотренное частью 2 указанной статьи проекта Закона, противоречит части 3 статьи 4 данного проекта Закона, устанавливающей, что международная гуманитарная помощь предоставляется без расчета на достижение целей политического характера.</w:t>
      </w:r>
    </w:p>
    <w:p>
      <w:pPr>
        <w:spacing w:after="120"/>
        <w:jc w:val="both"/>
      </w:pPr>
      <w:r>
        <w:rPr>
          <w:rFonts w:ascii="Arial" w:cs="Arial" w:eastAsia="Arial" w:hAnsi="Arial"/>
          <w:sz w:val="24"/>
          <w:szCs w:val="24"/>
        </w:rPr>
        <w:t xml:space="preserve">Статьей 6 проекта Закона предусматривается создание и функционирование Межведомственной комиссии по вопросам международной гуманитарной помощи, положение о которой, согласно части 3 указанной статьи, будет утверждаться Правительством Кыргызской Республики. В этой связи нормы, содержащиеся в частях 2, 4-9 названной статьи, предлагаем урегулировать в рамках Положения об указанной Комиссии.</w:t>
      </w:r>
    </w:p>
    <w:p>
      <w:pPr>
        <w:spacing w:after="120"/>
        <w:jc w:val="both"/>
      </w:pPr>
      <w:r>
        <w:rPr>
          <w:rFonts w:ascii="Arial" w:cs="Arial" w:eastAsia="Arial" w:hAnsi="Arial"/>
          <w:sz w:val="24"/>
          <w:szCs w:val="24"/>
        </w:rPr>
        <w:t xml:space="preserve">При этом отмечаем, что согласно проекту Закона Межведомственная комиссия по вопросам международной гуманитарной помощи будет являться консультативно-совещательным органом при Правительстве Кыргызской Республики для выработки предложений и мер по вопросам, отнесенным к компетенции Правительства Кыргызской Республики.</w:t>
      </w:r>
    </w:p>
    <w:p>
      <w:pPr>
        <w:spacing w:after="120"/>
        <w:jc w:val="both"/>
      </w:pPr>
      <w:r>
        <w:rPr>
          <w:rFonts w:ascii="Arial" w:cs="Arial" w:eastAsia="Arial" w:hAnsi="Arial"/>
          <w:sz w:val="24"/>
          <w:szCs w:val="24"/>
        </w:rPr>
        <w:t xml:space="preserve">В связи с этим необходимо уточнить сферу вопросов указанной Комиссии, а также проанализировать основные задачи и права Комиссии на предмет ее статуса, определять приоритеты и основные направления деятельности Кыргызской Республики по вопросам международной гуманитарной помощи, принимать решения по предлагаемым донорами проектам и программам, осуществлять контрольные функции. При этом следует также учесть, что Межведомственная комиссия будет являться коллегиальным, не постоянно действующим органом, заседания которого будут созываться по мере необходимости, а решения - носить рекомендательный характер.</w:t>
      </w:r>
    </w:p>
    <w:p>
      <w:pPr>
        <w:spacing w:after="120"/>
        <w:jc w:val="both"/>
      </w:pPr>
      <w:r>
        <w:rPr>
          <w:rFonts w:ascii="Arial" w:cs="Arial" w:eastAsia="Arial" w:hAnsi="Arial"/>
          <w:sz w:val="24"/>
          <w:szCs w:val="24"/>
        </w:rPr>
        <w:t xml:space="preserve">Относительно статьи 7 проекта Закона, регламентирующей функции уполномоченного государственного органа по вопросам международной гуманитарной помощи, отмечаем, что в соответствии со </w:t>
      </w:r>
      <w:r>
        <w:rPr>
          <w:rFonts w:ascii="Arial" w:cs="Arial" w:eastAsia="Arial" w:hAnsi="Arial"/>
          <w:sz w:val="24"/>
          <w:szCs w:val="24"/>
        </w:rPr>
        <w:t xml:space="preserve">статьей 87</w:t>
      </w:r>
      <w:r>
        <w:rPr>
          <w:rFonts w:ascii="Arial" w:cs="Arial" w:eastAsia="Arial" w:hAnsi="Arial"/>
          <w:sz w:val="24"/>
          <w:szCs w:val="24"/>
        </w:rPr>
        <w:t xml:space="preserve"> Гражданского </w:t>
      </w:r>
      <w:hyperlink w:history="1" r:id="rIdvacpfx569ktff6n_l3w7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юридическое лицо действует на основании устава либо учредительного договора и устава либо только учредительного договора. Предмет и цели деятельности юридического лица должны быть определены в учредительных документах.</w:t>
      </w:r>
    </w:p>
    <w:p>
      <w:pPr>
        <w:spacing w:after="120"/>
        <w:jc w:val="both"/>
      </w:pPr>
      <w:r>
        <w:rPr>
          <w:rFonts w:ascii="Arial" w:cs="Arial" w:eastAsia="Arial" w:hAnsi="Arial"/>
          <w:sz w:val="24"/>
          <w:szCs w:val="24"/>
        </w:rPr>
        <w:t xml:space="preserve">В соответствии с </w:t>
      </w:r>
      <w:hyperlink w:history="1" r:id="rIdaodznb8rmyw_4fn6whiuy">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возглавляет единую систему органов исполнительной власти в Кыргызской Республике и руководит их деятельностью. Согласно названному Закону Правительство Кыргызской Республики учреждает государственные предприятия и учреждения, утверждает положения о министерствах, государственных комитетах, административных ведомствах, местных государственных администрациях, а также распределяет функции по реализации своих полномочий между министерствами, государственными комитетами, административными ведомствами и местными государственными администрациями.</w:t>
      </w:r>
    </w:p>
    <w:p>
      <w:pPr>
        <w:spacing w:after="120"/>
        <w:jc w:val="both"/>
      </w:pPr>
      <w:r>
        <w:rPr>
          <w:rFonts w:ascii="Arial" w:cs="Arial" w:eastAsia="Arial" w:hAnsi="Arial"/>
          <w:sz w:val="24"/>
          <w:szCs w:val="24"/>
        </w:rPr>
        <w:t xml:space="preserve">Учитывая изложенное, закрепление полномочий уполномоченного государственного органа по вопросам международной гуманитарной помощи на законодательном уровне не соответствует нормам вышеназванных нормативных правовых актов. Аналогичные замечания относятся к статьям 9, 14 и 15 проекта Закона.</w:t>
      </w:r>
    </w:p>
    <w:p>
      <w:pPr>
        <w:spacing w:after="120"/>
        <w:jc w:val="both"/>
      </w:pPr>
      <w:r>
        <w:rPr>
          <w:rFonts w:ascii="Arial" w:cs="Arial" w:eastAsia="Arial" w:hAnsi="Arial"/>
          <w:sz w:val="24"/>
          <w:szCs w:val="24"/>
        </w:rPr>
        <w:t xml:space="preserve">Кроме того, часть 2 статьи 7 проекта Закона противоречит положениям </w:t>
      </w:r>
      <w:hyperlink w:history="1" r:id="rIdk8ckkdl2rqzc6xd8qhne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 соответствии с которым общеобязательные предписания устанавливаются нормативным правовым актом, т.е. официальным документом установленной формы, принятым в пределах компетенции уполномоченного государственного органа (должностного лица), органа местного самоуправления или путем референдума. При этом согласно статье 5 указанного Закона орган исполнительной власти, осуществляющий государственную политику в сфере социального развития (уполномоченный орган), не входит в перечень нормотворческих органов, наделенных правом принимать нормативные правовые акты.</w:t>
      </w:r>
    </w:p>
    <w:p>
      <w:pPr>
        <w:spacing w:after="120"/>
        <w:jc w:val="both"/>
      </w:pPr>
      <w:r>
        <w:rPr>
          <w:rFonts w:ascii="Arial" w:cs="Arial" w:eastAsia="Arial" w:hAnsi="Arial"/>
          <w:sz w:val="24"/>
          <w:szCs w:val="24"/>
        </w:rPr>
        <w:t xml:space="preserve">Определение функций территориальных комиссий по вопросам международной гуманитарной помощи также считаем целесообразным урегулировать на уровне подзаконных актов. При этом в целях недопущения коррупционных последствий перечень полномочий указанных комиссий должен быть исчерпывающим.</w:t>
      </w:r>
    </w:p>
    <w:p>
      <w:pPr>
        <w:spacing w:after="120"/>
        <w:jc w:val="both"/>
      </w:pPr>
      <w:r>
        <w:rPr>
          <w:rFonts w:ascii="Arial" w:cs="Arial" w:eastAsia="Arial" w:hAnsi="Arial"/>
          <w:sz w:val="24"/>
          <w:szCs w:val="24"/>
        </w:rPr>
        <w:t xml:space="preserve">Дополнительно по статье 8 проекта Закона отмечаем необходимость четкого определения субъекта и порядка координации деятельности территориальных комиссий по вопросам международной гуманитарной помощи.</w:t>
      </w:r>
    </w:p>
    <w:p>
      <w:pPr>
        <w:spacing w:after="120"/>
        <w:jc w:val="both"/>
      </w:pPr>
      <w:r>
        <w:rPr>
          <w:rFonts w:ascii="Arial" w:cs="Arial" w:eastAsia="Arial" w:hAnsi="Arial"/>
          <w:sz w:val="24"/>
          <w:szCs w:val="24"/>
        </w:rPr>
        <w:t xml:space="preserve">Часть 1 статьи 10 проекта Закона предлагаем изложить в следующей редакции:</w:t>
      </w:r>
    </w:p>
    <w:p>
      <w:pPr>
        <w:spacing w:after="120"/>
        <w:jc w:val="both"/>
      </w:pPr>
      <w:r>
        <w:rPr>
          <w:rFonts w:ascii="Arial" w:cs="Arial" w:eastAsia="Arial" w:hAnsi="Arial"/>
          <w:sz w:val="24"/>
          <w:szCs w:val="24"/>
        </w:rPr>
        <w:t xml:space="preserve">"1. К категории товаров (имущества), составляющих международную гуманитарную помощь, относятся: промышленные и продовольственные товары, изделия медицинского назначения, медицинское оборудование, лекарственные средства, протезно-ортопедические изделия и материалы, товары первой необходимости, предназначенные для ликвидации последствий чрезвычайных ситуаций, вооруженных конфликтов, аварий, оказания медицинской и социальной помощи малообеспеченным и социально уязвимым слоям населения, лицам, пострадавшим в результате вооруженных конфликтов, чрезвычайных ситуаций, группам населения, а также лицам с ограниченными возможностями здоровья.".</w:t>
      </w:r>
    </w:p>
    <w:p>
      <w:pPr>
        <w:spacing w:after="120"/>
        <w:jc w:val="both"/>
      </w:pPr>
      <w:r>
        <w:rPr>
          <w:rFonts w:ascii="Arial" w:cs="Arial" w:eastAsia="Arial" w:hAnsi="Arial"/>
          <w:sz w:val="24"/>
          <w:szCs w:val="24"/>
        </w:rPr>
        <w:t xml:space="preserve">По частям 4, 7 и 8 статьи 11 проекта Закона, устанавливающим нормы по уничтожению товаров (имущества) гуманитарной помощи в случае неподтверждения их качества, безопасности и возможности потребления отмечаем, что согласно </w:t>
      </w:r>
      <w:r>
        <w:rPr>
          <w:rFonts w:ascii="Arial" w:cs="Arial" w:eastAsia="Arial" w:hAnsi="Arial"/>
          <w:sz w:val="24"/>
          <w:szCs w:val="24"/>
        </w:rPr>
        <w:t xml:space="preserve">статье 222</w:t>
      </w:r>
      <w:r>
        <w:rPr>
          <w:rFonts w:ascii="Arial" w:cs="Arial" w:eastAsia="Arial" w:hAnsi="Arial"/>
          <w:sz w:val="24"/>
          <w:szCs w:val="24"/>
        </w:rPr>
        <w:t xml:space="preserve"> Гражданского </w:t>
      </w:r>
      <w:hyperlink w:history="1" r:id="rIdwtlg_hyv_8yvb6jt0gyy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право собственности является признаваемое и охраняемое законодательными актами право субъекта по своему усмотрению владеть, пользоваться и распоряжаться принадлежащим ему имуществом.</w:t>
      </w:r>
    </w:p>
    <w:p>
      <w:pPr>
        <w:spacing w:after="120"/>
        <w:jc w:val="both"/>
      </w:pPr>
      <w:r>
        <w:rPr>
          <w:rFonts w:ascii="Arial" w:cs="Arial" w:eastAsia="Arial" w:hAnsi="Arial"/>
          <w:sz w:val="24"/>
          <w:szCs w:val="24"/>
        </w:rPr>
        <w:t xml:space="preserve">Помимо этого, часть 7 статьи 12 проекта Закона предусматривает, что международная гуманитарная помощь, поступившая на территорию Кыргызской Республики, до момента фактической передачи получателю (распределителю) является собственностью стороны, оказывающей гуманитарную помощь. В связи с этим считаем, что в указанных случаях гуманитарная помощь должна быть возвращена стороне, являющейся ее собственником.</w:t>
      </w:r>
    </w:p>
    <w:p>
      <w:pPr>
        <w:spacing w:after="120"/>
        <w:jc w:val="both"/>
      </w:pPr>
      <w:r>
        <w:rPr>
          <w:rFonts w:ascii="Arial" w:cs="Arial" w:eastAsia="Arial" w:hAnsi="Arial"/>
          <w:sz w:val="24"/>
          <w:szCs w:val="24"/>
        </w:rPr>
        <w:t xml:space="preserve">Части 5 и 6 статьи 11 проекта Закона предлагаем исключить, поскольку их положения поглощены частью 1 названной статьи.</w:t>
      </w:r>
    </w:p>
    <w:p>
      <w:pPr>
        <w:spacing w:after="120"/>
        <w:jc w:val="both"/>
      </w:pPr>
      <w:r>
        <w:rPr>
          <w:rFonts w:ascii="Arial" w:cs="Arial" w:eastAsia="Arial" w:hAnsi="Arial"/>
          <w:sz w:val="24"/>
          <w:szCs w:val="24"/>
        </w:rPr>
        <w:t xml:space="preserve">В части 7 статьи 11 предлагаем слова "дальнейшем ее использовании" исключить, так как, в случае предоставления соответствующими органами заключений о непригодности товаров, считаем нецелесообразным дальнейшее их использование.</w:t>
      </w:r>
    </w:p>
    <w:p>
      <w:pPr>
        <w:spacing w:after="120"/>
        <w:jc w:val="both"/>
      </w:pPr>
      <w:r>
        <w:rPr>
          <w:rFonts w:ascii="Arial" w:cs="Arial" w:eastAsia="Arial" w:hAnsi="Arial"/>
          <w:sz w:val="24"/>
          <w:szCs w:val="24"/>
        </w:rPr>
        <w:t xml:space="preserve">Последнее предложение части 3 статьи 12 проекта Закона предлагаем исключить, поскольку данная норма содержит коррупционный фактор.</w:t>
      </w:r>
    </w:p>
    <w:p>
      <w:pPr>
        <w:spacing w:after="120"/>
        <w:jc w:val="both"/>
      </w:pPr>
      <w:r>
        <w:rPr>
          <w:rFonts w:ascii="Arial" w:cs="Arial" w:eastAsia="Arial" w:hAnsi="Arial"/>
          <w:sz w:val="24"/>
          <w:szCs w:val="24"/>
        </w:rPr>
        <w:t xml:space="preserve">Принимая во внимание, что норма права (правовая норма) - это общеобязательные правила поведения, часть 1 статьи 14 проекта Закона предлагаем исключить, поскольку она носит рекомендательный характер.</w:t>
      </w:r>
    </w:p>
    <w:p>
      <w:pPr>
        <w:spacing w:after="120"/>
        <w:jc w:val="both"/>
      </w:pPr>
      <w:r>
        <w:rPr>
          <w:rFonts w:ascii="Arial" w:cs="Arial" w:eastAsia="Arial" w:hAnsi="Arial"/>
          <w:sz w:val="24"/>
          <w:szCs w:val="24"/>
        </w:rPr>
        <w:t xml:space="preserve">Редакцию части 8 статьи 14 проекта Закона предлагаем пересмотреть, поскольку неясно, о какой гуманитарной помощи идет речь - предоставляемой на уровне государства или на местном уровне.</w:t>
      </w:r>
    </w:p>
    <w:p>
      <w:pPr>
        <w:spacing w:after="120"/>
        <w:jc w:val="both"/>
      </w:pPr>
      <w:r>
        <w:rPr>
          <w:rFonts w:ascii="Arial" w:cs="Arial" w:eastAsia="Arial" w:hAnsi="Arial"/>
          <w:sz w:val="24"/>
          <w:szCs w:val="24"/>
        </w:rPr>
        <w:t xml:space="preserve">Частями 1-3 статьи 16 проекта Закона устанавливается, что финансирование расходов, связанных с перевозкой, погрузкой, выгрузкой, складированием, хранением, получением и распределением международной гуманитарной помощи может осуществляться по согласованию сторон, в том числе за счет донора, а также за счет средств, предусмотренных на финансирование мероприятий по обеспечению оказания гуманитарной помощи Кыргызской Республике, из государственного бюджета Кыргызской Республики.</w:t>
      </w:r>
    </w:p>
    <w:p>
      <w:pPr>
        <w:spacing w:after="120"/>
        <w:jc w:val="both"/>
      </w:pPr>
      <w:r>
        <w:rPr>
          <w:rFonts w:ascii="Arial" w:cs="Arial" w:eastAsia="Arial" w:hAnsi="Arial"/>
          <w:sz w:val="24"/>
          <w:szCs w:val="24"/>
        </w:rPr>
        <w:t xml:space="preserve">Вместе с тем необходимо отметить, что отдельные денежные средства на выполнение мероприятий по распределению гуманитарного груза в республиканском бюджете не предусматриваются.</w:t>
      </w:r>
    </w:p>
    <w:p>
      <w:pPr>
        <w:spacing w:after="120"/>
        <w:jc w:val="both"/>
      </w:pPr>
      <w:r>
        <w:rPr>
          <w:rFonts w:ascii="Arial" w:cs="Arial" w:eastAsia="Arial" w:hAnsi="Arial"/>
          <w:sz w:val="24"/>
          <w:szCs w:val="24"/>
        </w:rPr>
        <w:t xml:space="preserve">В связи с этим предлагаем предусмотреть норму, регламентирующую, что финансирование указанных расходов может осуществляться за счет средств государственных органов и органов местного самоуправления, получающих гуманитарную помощь.</w:t>
      </w:r>
    </w:p>
    <w:p>
      <w:pPr>
        <w:spacing w:after="120"/>
        <w:jc w:val="both"/>
      </w:pPr>
      <w:r>
        <w:rPr>
          <w:rFonts w:ascii="Arial" w:cs="Arial" w:eastAsia="Arial" w:hAnsi="Arial"/>
          <w:sz w:val="24"/>
          <w:szCs w:val="24"/>
        </w:rPr>
        <w:t xml:space="preserve">Согласно статьям 2 и 4 проекта Закона международная гуманитарная помощь предоставляется без расчета на получение коммерческой выгоды, т.е. имеет целевой характер, который подразумевает ее использование без извлечения выгоды только для целей, определенных стороной, оказывающей гуманитарную помощь.</w:t>
      </w:r>
    </w:p>
    <w:p>
      <w:pPr>
        <w:spacing w:after="120"/>
        <w:jc w:val="both"/>
      </w:pPr>
      <w:r>
        <w:rPr>
          <w:rFonts w:ascii="Arial" w:cs="Arial" w:eastAsia="Arial" w:hAnsi="Arial"/>
          <w:sz w:val="24"/>
          <w:szCs w:val="24"/>
        </w:rPr>
        <w:t xml:space="preserve">Кроме того, часть 7 статьи 17 проекта Закона устанавливает, что товары (имущество) гуманитарной помощи, которые продаются за денежные средства или передаются за другие виды компенсации, и (или) выручка, полученная за такую продажу, изымаются или конфискуются в установленном законом порядке.</w:t>
      </w:r>
    </w:p>
    <w:p>
      <w:pPr>
        <w:spacing w:after="120"/>
        <w:jc w:val="both"/>
      </w:pPr>
      <w:r>
        <w:rPr>
          <w:rFonts w:ascii="Arial" w:cs="Arial" w:eastAsia="Arial" w:hAnsi="Arial"/>
          <w:sz w:val="24"/>
          <w:szCs w:val="24"/>
        </w:rPr>
        <w:t xml:space="preserve">В связи с изложенным часть 4 статьи 16 проекта Закона предлагаем исключить.</w:t>
      </w:r>
    </w:p>
    <w:p>
      <w:pPr>
        <w:spacing w:after="120"/>
        <w:jc w:val="both"/>
      </w:pPr>
      <w:r>
        <w:rPr>
          <w:rFonts w:ascii="Arial" w:cs="Arial" w:eastAsia="Arial" w:hAnsi="Arial"/>
          <w:sz w:val="24"/>
          <w:szCs w:val="24"/>
        </w:rPr>
        <w:t xml:space="preserve">Дополнительно необходимо отметить, что проект Закона содержит положения, затрагивающие другие сферы правоотношений, которые регулируются специализированными нормативными правовыми актами.</w:t>
      </w:r>
    </w:p>
    <w:p>
      <w:pPr>
        <w:spacing w:after="120"/>
        <w:jc w:val="both"/>
      </w:pPr>
      <w:r>
        <w:rPr>
          <w:rFonts w:ascii="Arial" w:cs="Arial" w:eastAsia="Arial" w:hAnsi="Arial"/>
          <w:sz w:val="24"/>
          <w:szCs w:val="24"/>
        </w:rPr>
        <w:t xml:space="preserve">В частности, нормы проекта Закона предусматривают регламентацию вопросов визового режима для международного персонала (статья 9), предоставления жилья в приоритетном и льготном порядке (статья 9), таможенного оформления (статьи 11, 12 и 13), административной и уголовной ответственности (статья 17).</w:t>
      </w:r>
    </w:p>
    <w:p>
      <w:pPr>
        <w:spacing w:after="120"/>
        <w:jc w:val="both"/>
      </w:pPr>
      <w:r>
        <w:rPr>
          <w:rFonts w:ascii="Arial" w:cs="Arial" w:eastAsia="Arial" w:hAnsi="Arial"/>
          <w:sz w:val="24"/>
          <w:szCs w:val="24"/>
        </w:rPr>
        <w:t xml:space="preserve">При этом в соответствии с </w:t>
      </w:r>
      <w:hyperlink w:history="1" r:id="rIdvssb8agcbmnzpaeyuayc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 административной ответственности лицо, совершившее административное правонарушение на территории Кыргызской Республики, несет ответственность в соответствии с данным Кодексом.</w:t>
      </w:r>
    </w:p>
    <w:p>
      <w:pPr>
        <w:spacing w:after="120"/>
        <w:jc w:val="both"/>
      </w:pPr>
      <w:r>
        <w:rPr>
          <w:rFonts w:ascii="Arial" w:cs="Arial" w:eastAsia="Arial" w:hAnsi="Arial"/>
          <w:sz w:val="24"/>
          <w:szCs w:val="24"/>
        </w:rPr>
        <w:t xml:space="preserve">Также, согласно Уголовному </w:t>
      </w:r>
      <w:hyperlink w:history="1" r:id="rIdymofx9ukn04sacyq5eiu1">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 все лица, совершившие преступления на территории Кыргызской Республики, подлежат ответственности по данному Кодексу. Основанием уголовной ответственности является совершение общественно опасного деяния, содержащего признаки состава преступления, предусмотренного уголовным законом.</w:t>
      </w:r>
    </w:p>
    <w:p>
      <w:pPr>
        <w:spacing w:after="120"/>
        <w:jc w:val="both"/>
      </w:pPr>
      <w:r>
        <w:rPr>
          <w:rFonts w:ascii="Arial" w:cs="Arial" w:eastAsia="Arial" w:hAnsi="Arial"/>
          <w:sz w:val="24"/>
          <w:szCs w:val="24"/>
        </w:rPr>
        <w:t xml:space="preserve">Статья 178</w:t>
      </w:r>
      <w:r>
        <w:rPr>
          <w:rFonts w:ascii="Arial" w:cs="Arial" w:eastAsia="Arial" w:hAnsi="Arial"/>
          <w:sz w:val="24"/>
          <w:szCs w:val="24"/>
        </w:rPr>
        <w:t xml:space="preserve"> Таможенного </w:t>
      </w:r>
      <w:hyperlink w:history="1" r:id="rIdqfvk9g4hfcjd8qy0ehp-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предусматривает, что в отношении товаров, поставляемых в качестве гуманитарной помощи, грантов в порядке, определяемом Правительством Кыргызской Республики, устанавливается специальный таможенный режим. При этом таможенное оформление производится в порядке, определяемом данным Кодексом и принимаемыми в соответствии с ним иными нормативными правовыми актами Кыргызской Республики.</w:t>
      </w:r>
    </w:p>
    <w:p>
      <w:pPr>
        <w:spacing w:after="120"/>
        <w:jc w:val="both"/>
      </w:pPr>
      <w:r>
        <w:rPr>
          <w:rFonts w:ascii="Arial" w:cs="Arial" w:eastAsia="Arial" w:hAnsi="Arial"/>
          <w:sz w:val="24"/>
          <w:szCs w:val="24"/>
        </w:rPr>
        <w:t xml:space="preserve">Основные требования к въезду и пребыванию иностранных граждан и лиц без гражданства в Кыргызской Республике, в том числе выдаче виз, устанавливаются </w:t>
      </w:r>
      <w:hyperlink w:history="1" r:id="rIdbftjal_-cgcrfdkct0gh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внешней миграции".</w:t>
      </w:r>
    </w:p>
    <w:p>
      <w:pPr>
        <w:spacing w:after="120"/>
        <w:jc w:val="both"/>
      </w:pPr>
      <w:r>
        <w:rPr>
          <w:rFonts w:ascii="Arial" w:cs="Arial" w:eastAsia="Arial" w:hAnsi="Arial"/>
          <w:sz w:val="24"/>
          <w:szCs w:val="24"/>
        </w:rPr>
        <w:t xml:space="preserve">Учитывая изложенное, предлагаем принять во внимание, что в соответствии со </w:t>
      </w:r>
      <w:r>
        <w:rPr>
          <w:rFonts w:ascii="Arial" w:cs="Arial" w:eastAsia="Arial" w:hAnsi="Arial"/>
          <w:sz w:val="24"/>
          <w:szCs w:val="24"/>
        </w:rPr>
        <w:t xml:space="preserve">статьей 6</w:t>
      </w:r>
      <w:r>
        <w:rPr>
          <w:rFonts w:ascii="Arial" w:cs="Arial" w:eastAsia="Arial" w:hAnsi="Arial"/>
          <w:sz w:val="24"/>
          <w:szCs w:val="24"/>
        </w:rPr>
        <w:t xml:space="preserve"> </w:t>
      </w:r>
      <w:hyperlink w:history="1" r:id="rIdwt72gy_i_-9yc5d5rs82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нормативный правовой акт не должен противоречить нормативному правовому акту, имеющему по сравнению с ним более высокую юридическую силу. При этом согласно </w:t>
      </w:r>
      <w:r>
        <w:rPr>
          <w:rFonts w:ascii="Arial" w:cs="Arial" w:eastAsia="Arial" w:hAnsi="Arial"/>
          <w:sz w:val="24"/>
          <w:szCs w:val="24"/>
        </w:rPr>
        <w:t xml:space="preserve">статье 32</w:t>
      </w:r>
      <w:r>
        <w:rPr>
          <w:rFonts w:ascii="Arial" w:cs="Arial" w:eastAsia="Arial" w:hAnsi="Arial"/>
          <w:sz w:val="24"/>
          <w:szCs w:val="24"/>
        </w:rPr>
        <w:t xml:space="preserve"> вышеназванного </w:t>
      </w:r>
      <w:hyperlink w:history="1" r:id="rIdhdi1r1fnhtjsekstfsah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в случае коллизии между нормативными правовыми актами субъекты правоотношений руководствуются нормативным правовым актом, обладающим более высокой юридической силой. Нормы законов в случаях их расхождения с нормами кодексов могут применяться только после внесения в кодексы соответствующих изменений. В случае коллизии между нормативными правовыми актами, обладающими равной юридической силой, и если ни один из них не противоречит акту с более высокой юридической силой, действуют положения акта, регулирующего данную сферу правоотношений.</w:t>
      </w:r>
    </w:p>
    <w:p>
      <w:pPr>
        <w:spacing w:after="120"/>
        <w:jc w:val="both"/>
      </w:pPr>
      <w:r>
        <w:rPr>
          <w:rFonts w:ascii="Arial" w:cs="Arial" w:eastAsia="Arial" w:hAnsi="Arial"/>
          <w:sz w:val="24"/>
          <w:szCs w:val="24"/>
        </w:rPr>
        <w:t xml:space="preserve">Учитывая, что проект Закона предусматривает разработку большого количества подзаконных нормативных правовых актов, а также принимая во внимание длительность процедур разработки, согласования и продвижения нормативных правовых актов, в части 2 статьи 18 проекта предлагаем определить оптимальный срок для исполнения поручения.</w:t>
      </w:r>
    </w:p>
    <w:p>
      <w:pPr>
        <w:spacing w:after="120"/>
        <w:jc w:val="both"/>
      </w:pPr>
      <w:r>
        <w:rPr>
          <w:rFonts w:ascii="Arial" w:cs="Arial" w:eastAsia="Arial" w:hAnsi="Arial"/>
          <w:sz w:val="24"/>
          <w:szCs w:val="24"/>
        </w:rPr>
        <w:t xml:space="preserve">Также считаем, что данный проект Закона требует редакционной доработки с соблюдением нормотворческой техники и требований к оформлению нормативного правового акта.</w:t>
      </w:r>
    </w:p>
    <w:p>
      <w:pPr>
        <w:spacing w:after="120"/>
        <w:jc w:val="both"/>
      </w:pPr>
      <w:r>
        <w:rPr>
          <w:rFonts w:ascii="Arial" w:cs="Arial" w:eastAsia="Arial" w:hAnsi="Arial"/>
          <w:sz w:val="24"/>
          <w:szCs w:val="24"/>
        </w:rPr>
        <w:t xml:space="preserve">Кроме этого, в соответствии с </w:t>
      </w:r>
      <w:hyperlink w:history="1" r:id="rIde_rwmj2w5aerqbrtysbt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проекты нормативных правовых актов, непосредственно затрагивающих интересы граждан и юридических лиц, а также проекты нормативных правовых актов, регулирующих предпринимательскую деятельность, подлежат общественному обсуждению посредством размещения на официальном сайте нормотворческого органа. По решению нормотворческого органа, в случае отсутствия у нормотворческого органа официального сайта, а также в случаях, предусмотренных законом, опубликование нормативных правовых актов производится в средствах массовой информации. Общественное обсуждение проекта нормативного правового акта обеспечивается нормотворческим органом путем обеспечения доступа к тексту проекта нормативного правового акта, а также принятия, рассмотрения и обобщения предложений, поступающих от участников общественного обсуждения. По результатам общественного обсуждения нормотворческий орган готовит итоговую информацию о поступивших предложениях с обоснованием причин включения либо невключения их в проект нормативного правового акта. Итоговая информация отражается в справке-обосновании к проекту нормативного правового акта.</w:t>
      </w:r>
    </w:p>
    <w:p>
      <w:pPr>
        <w:spacing w:after="120"/>
        <w:jc w:val="both"/>
      </w:pPr>
      <w:r>
        <w:rPr>
          <w:rFonts w:ascii="Arial" w:cs="Arial" w:eastAsia="Arial" w:hAnsi="Arial"/>
          <w:sz w:val="24"/>
          <w:szCs w:val="24"/>
        </w:rPr>
        <w:t xml:space="preserve">В связи с изложенным, считаем необходимым провести общественное обсуждение проекта Закона с гражданским сообществом и международными донорскими организациями в Кыргызской Республике в соответствии с требованиями вышеназванного Закона.</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ygcgxrrmcydwheqzwe4w" Type="http://schemas.openxmlformats.org/officeDocument/2006/relationships/hyperlink" Target="http://kodeks.duckdns.org/document/159126" TargetMode="External"/><Relationship Id="rId7swelugzazlimemkokvki" Type="http://schemas.openxmlformats.org/officeDocument/2006/relationships/hyperlink" Target="http://kodeks.duckdns.org/document/203685" TargetMode="External"/><Relationship Id="rIdzyrfhrooka_fxzuskwcle" Type="http://schemas.openxmlformats.org/officeDocument/2006/relationships/hyperlink" Target="http://kodeks.duckdns.org/document/96755#&#1088;1" TargetMode="External"/><Relationship Id="rIdg17wucyrxcd_xjud1poe4" Type="http://schemas.openxmlformats.org/officeDocument/2006/relationships/hyperlink" Target="http://kodeks.duckdns.org/document/96755" TargetMode="External"/><Relationship Id="rIdrwtt5xvippbxq5th-wy-h" Type="http://schemas.openxmlformats.org/officeDocument/2006/relationships/hyperlink" Target="http://kodeks.duckdns.org/document/203685" TargetMode="External"/><Relationship Id="rIdr8j6patlawq-bvvu6wdr1" Type="http://schemas.openxmlformats.org/officeDocument/2006/relationships/hyperlink" Target="http://kodeks.duckdns.org/document/202913" TargetMode="External"/><Relationship Id="rIdvacpfx569ktff6n_l3w7q" Type="http://schemas.openxmlformats.org/officeDocument/2006/relationships/hyperlink" Target="http://kodeks.duckdns.org/document/4" TargetMode="External"/><Relationship Id="rIdaodznb8rmyw_4fn6whiuy" Type="http://schemas.openxmlformats.org/officeDocument/2006/relationships/hyperlink" Target="http://kodeks.duckdns.org/document/203685" TargetMode="External"/><Relationship Id="rIdk8ckkdl2rqzc6xd8qhnea" Type="http://schemas.openxmlformats.org/officeDocument/2006/relationships/hyperlink" Target="http://kodeks.duckdns.org/document/202591" TargetMode="External"/><Relationship Id="rIdwtlg_hyv_8yvb6jt0gyyi" Type="http://schemas.openxmlformats.org/officeDocument/2006/relationships/hyperlink" Target="http://kodeks.duckdns.org/document/4" TargetMode="External"/><Relationship Id="rIdvssb8agcbmnzpaeyuaycn" Type="http://schemas.openxmlformats.org/officeDocument/2006/relationships/hyperlink" Target="http://kodeks.duckdns.org/document/6" TargetMode="External"/><Relationship Id="rIdymofx9ukn04sacyq5eiu1" Type="http://schemas.openxmlformats.org/officeDocument/2006/relationships/hyperlink" Target="http://kodeks.duckdns.org/document/568" TargetMode="External"/><Relationship Id="rIdqfvk9g4hfcjd8qy0ehp-u" Type="http://schemas.openxmlformats.org/officeDocument/2006/relationships/hyperlink" Target="http://kodeks.duckdns.org/document/1587" TargetMode="External"/><Relationship Id="rIdbftjal_-cgcrfdkct0ghu" Type="http://schemas.openxmlformats.org/officeDocument/2006/relationships/hyperlink" Target="http://kodeks.duckdns.org/document/350" TargetMode="External"/><Relationship Id="rIdwt72gy_i_-9yc5d5rs82v" Type="http://schemas.openxmlformats.org/officeDocument/2006/relationships/hyperlink" Target="http://kodeks.duckdns.org/document/202591" TargetMode="External"/><Relationship Id="rIdhdi1r1fnhtjsekstfsahr" Type="http://schemas.openxmlformats.org/officeDocument/2006/relationships/hyperlink" Target="http://kodeks.duckdns.org/document/202591" TargetMode="External"/><Relationship Id="rIde_rwmj2w5aerqbrtysbtg" Type="http://schemas.openxmlformats.org/officeDocument/2006/relationships/hyperlink" Target="http://kodeks.duckdns.org/document/202591" TargetMode="External"/><Relationship Id="rId7" Type="http://schemas.openxmlformats.org/officeDocument/2006/relationships/image" Target="media/93bec1c1538034512fe33c1434ae0ea86b639d33.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2026-09-23T09:35:09.805Z</dcterms:created>
  <dcterms:modified xsi:type="dcterms:W3CDTF">2026-09-23T09:35:09.805Z</dcterms:modified>
</cp:coreProperties>
</file>

<file path=docProps/custom.xml><?xml version="1.0" encoding="utf-8"?>
<Properties xmlns="http://schemas.openxmlformats.org/officeDocument/2006/custom-properties" xmlns:vt="http://schemas.openxmlformats.org/officeDocument/2006/docPropsVTypes"/>
</file>