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Одобрено </w:t>
      </w:r>
      <w:hyperlink w:history="1" r:id="rIdcfyvaamvp1xelnd_tshq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2014 года № 443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 внесении дополнений и изменения в некоторые законодательные акты Кыргызской Республики», «О внесении изменений и дополнений в Закон Кыргызской Республики «Об основах социального обслуживания населения в Кыргызской Республике», «О внесении изменения и дополнений в Закон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psxad7cdbcdkoqclvl1n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проекты законов Кыргызской Республики «О внесении дополнений и изменения в некоторые законодательные акты Кыргызской Республики», «О внесении изменений и дополнений в </w:t>
      </w:r>
      <w:hyperlink w:history="1" r:id="rIdulfwrnan_9gg8yrosjs_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«О внесении изменения и дополнений в </w:t>
      </w:r>
      <w:hyperlink w:history="1" r:id="rIdzwk7x4wmjyftwbbpxelv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инициированные депутатами Жогорку Кенеша Кыргызской Республики М. Бакировым, Д. Бекешевым, А. Режавалиевым и Н. Алимбековым, приходит к следующему заключению.</w:t>
      </w:r>
    </w:p>
    <w:p>
      <w:pPr>
        <w:spacing w:after="120"/>
        <w:jc w:val="both"/>
      </w:pPr>
      <w:r>
        <w:rPr>
          <w:rFonts w:ascii="Arial" w:cs="Arial" w:eastAsia="Arial" w:hAnsi="Arial"/>
          <w:sz w:val="24"/>
          <w:szCs w:val="24"/>
        </w:rPr>
        <w:t xml:space="preserve">По проекту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Частью 1 статьи 1 проекта Закона главу 2 </w:t>
      </w:r>
      <w:hyperlink w:history="1" r:id="rIdnsnelinuxn92tehvrcsv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предлагается дополнить статьей, предусматривающей нормы по охране имущественных прав ребенка. В частности, отчуждение, передача в залог имущества, подлежащего государственной регистрации, собственником которого является ребенок, равно как и прав на интеллектуальную собственность ребенка, не допускаются без письменного согласия уполномоченного органа по защите детей.</w:t>
      </w:r>
    </w:p>
    <w:p>
      <w:pPr>
        <w:spacing w:after="120"/>
        <w:jc w:val="both"/>
      </w:pPr>
      <w:r>
        <w:rPr>
          <w:rFonts w:ascii="Arial" w:cs="Arial" w:eastAsia="Arial" w:hAnsi="Arial"/>
          <w:sz w:val="24"/>
          <w:szCs w:val="24"/>
        </w:rPr>
        <w:t xml:space="preserve">В связи с этим необходимо отметить, что в соответствии со статьей 61 Гражданского </w:t>
      </w:r>
      <w:hyperlink w:history="1" r:id="rIddsblcm2od4decwavcmao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Гражданский </w:t>
      </w:r>
      <w:hyperlink w:history="1" r:id="rIdnlvl9dhwesgpa2jyevya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несовершеннолетние в возрасте от четырнадцати до восемнадцати лет совершают сделки с письменного согласия своих законных представителей - родителей, усыновителей или попечителей. Самостоятельно, без согласия родителей, усыновителей и попечителей, вышеназванные лица могут распоряжаться своим заработком, стипендией и иными доходами;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 в соответствии с законодательством вносить вклады в кредитные учреждения и распоряжаться ими; совершать мелкие бытовые сделки и иные сделки, предусмотренные пунктом 2 </w:t>
      </w:r>
      <w:r>
        <w:rPr>
          <w:rFonts w:ascii="Arial" w:cs="Arial" w:eastAsia="Arial" w:hAnsi="Arial"/>
          <w:sz w:val="24"/>
          <w:szCs w:val="24"/>
        </w:rPr>
        <w:t xml:space="preserve">статьи 63</w:t>
      </w:r>
      <w:r>
        <w:rPr>
          <w:rFonts w:ascii="Arial" w:cs="Arial" w:eastAsia="Arial" w:hAnsi="Arial"/>
          <w:sz w:val="24"/>
          <w:szCs w:val="24"/>
        </w:rPr>
        <w:t xml:space="preserve"> указанного </w:t>
      </w:r>
      <w:hyperlink w:history="1" r:id="rIdu54zy76q6vkkxl_n3jhk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несовершеннолетних в возрасте до четырнадцати лет (малолетних), согласно статье 63 Гражданского </w:t>
      </w:r>
      <w:hyperlink w:history="1" r:id="rIdudsgjqunrzqfi2oudqz-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сделки могут совершать от их имени только их законные представители - родители, усыновители или опекуны.</w:t>
      </w:r>
    </w:p>
    <w:p>
      <w:pPr>
        <w:spacing w:after="120"/>
        <w:jc w:val="both"/>
      </w:pPr>
      <w:r>
        <w:rPr>
          <w:rFonts w:ascii="Arial" w:cs="Arial" w:eastAsia="Arial" w:hAnsi="Arial"/>
          <w:sz w:val="24"/>
          <w:szCs w:val="24"/>
        </w:rPr>
        <w:t xml:space="preserve">При этом статья 72 данного </w:t>
      </w:r>
      <w:hyperlink w:history="1" r:id="rId8-wihbxtyrhlztnhkbrp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предусматривает, что опекун не вправе без предварительного разрешения территориального подразделения уполномоченного государственного органа по защите детей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сделок, влекущих уменьшение имущества подопечного.</w:t>
      </w:r>
    </w:p>
    <w:p>
      <w:pPr>
        <w:spacing w:after="120"/>
        <w:jc w:val="both"/>
      </w:pPr>
      <w:r>
        <w:rPr>
          <w:rFonts w:ascii="Arial" w:cs="Arial" w:eastAsia="Arial" w:hAnsi="Arial"/>
          <w:sz w:val="24"/>
          <w:szCs w:val="24"/>
        </w:rPr>
        <w:t xml:space="preserve">     Кроме того, необходимо принять во внимание, что в соответствии со статьей 62 Гражданского </w:t>
      </w:r>
      <w:hyperlink w:history="1" r:id="rIdwnyegcyzyk0wdvgc7p_n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pPr>
        <w:spacing w:after="120"/>
        <w:jc w:val="both"/>
      </w:pPr>
      <w:r>
        <w:rPr>
          <w:rFonts w:ascii="Arial" w:cs="Arial" w:eastAsia="Arial" w:hAnsi="Arial"/>
          <w:sz w:val="24"/>
          <w:szCs w:val="24"/>
        </w:rPr>
        <w:t xml:space="preserve">     Таким образом, дополнения, предлагаемые проектом, не будут соответствовать нормам Гражданского </w:t>
      </w:r>
      <w:hyperlink w:history="1" r:id="rIdyy1bgiokjdiqnfcnlbqo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1 статьи 1 проекта Закона предусматривает положения, касающиеся признания сделок недействительными (ничтожными).</w:t>
      </w:r>
    </w:p>
    <w:p>
      <w:pPr>
        <w:spacing w:after="120"/>
        <w:jc w:val="both"/>
      </w:pPr>
      <w:r>
        <w:rPr>
          <w:rFonts w:ascii="Arial" w:cs="Arial" w:eastAsia="Arial" w:hAnsi="Arial"/>
          <w:sz w:val="24"/>
          <w:szCs w:val="24"/>
        </w:rPr>
        <w:t xml:space="preserve">     Вместе с тем, основания недействительности сделок также устанавливаются Гражданским </w:t>
      </w:r>
      <w:hyperlink w:history="1" r:id="rIdfcndmblkjvu9vhhmnr45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В частности, согласно статьям 190 и 191 названного </w:t>
      </w:r>
      <w:hyperlink w:history="1" r:id="rIdxxq5qzbgqvllexi3xrk5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ничтожной называется сделка, совершенная несовершеннолетним, не достигшим четырнадцати лет (малолетним).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 настоящим </w:t>
      </w:r>
      <w:hyperlink w:history="1" r:id="rIdebzmysr8krecn1yrxv4s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может быть признана судом недействительной по иску родителей, усыновителей или попечителя.</w:t>
      </w:r>
    </w:p>
    <w:p>
      <w:pPr>
        <w:spacing w:after="120"/>
        <w:jc w:val="both"/>
      </w:pPr>
      <w:r>
        <w:rPr>
          <w:rFonts w:ascii="Arial" w:cs="Arial" w:eastAsia="Arial" w:hAnsi="Arial"/>
          <w:sz w:val="24"/>
          <w:szCs w:val="24"/>
        </w:rPr>
        <w:t xml:space="preserve">На основании вышеизложенного необходимо отметить, что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приравненных к ним средств индивидуализации (интеллектуальная собственность), договорные и иные обязательства, а также другие имущественные и связанные с ними личные неимущественные отношения регулируются гражданским законодательством. При этом, гражданское законодательство состоит из Гражданского </w:t>
      </w:r>
      <w:hyperlink w:history="1" r:id="rIdcaiq87e3uqe6ve6capnx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законов и принятых в соответствии с ними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 регулирующих вышеназванные отношения. Нормы гражданского законодательства, содержащиеся в других нормативных правовых актах, должны соответствовать указанному </w:t>
      </w:r>
      <w:hyperlink w:history="1" r:id="rIdkqpni6t_4aazmbrnxtvnj">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Кроме того, в соответствии со статьей 32 </w:t>
      </w:r>
      <w:hyperlink w:history="1" r:id="rIdlyso10b8oxqssxufjz6u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jc w:val="both"/>
      </w:pPr>
      <w:r>
        <w:rPr>
          <w:rFonts w:ascii="Arial" w:cs="Arial" w:eastAsia="Arial" w:hAnsi="Arial"/>
          <w:sz w:val="24"/>
          <w:szCs w:val="24"/>
        </w:rPr>
        <w:t xml:space="preserve">     Далее, части 2, 3, 4 и 5 дополняемой статьи 13-1, указанной в части 1 статьи 1 проекта, регламентируют полномочия территориальных управлений уполномоченного органа по защите детей по выявлению имущества детей-сирот и детей, оставшихся без попечения родителей, принятию мер по охране данного имущества, а также его управлению.</w:t>
      </w:r>
    </w:p>
    <w:p>
      <w:pPr>
        <w:spacing w:after="120"/>
        <w:jc w:val="both"/>
      </w:pPr>
      <w:r>
        <w:rPr>
          <w:rFonts w:ascii="Arial" w:cs="Arial" w:eastAsia="Arial" w:hAnsi="Arial"/>
          <w:sz w:val="24"/>
          <w:szCs w:val="24"/>
        </w:rPr>
        <w:t xml:space="preserve">     В связи с этим необходимо отметить, что в соответствии со статьей 87 Гражданского </w:t>
      </w:r>
      <w:hyperlink w:history="1" r:id="rId9fr5e7ihyoob5gckcvrz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юридическое лицо действует на основании устава либо учредительного договора и устава, либо только учредительного договора. Предмет и цели деятельности юридического лица должны быть определены в учредительных документах.</w:t>
      </w:r>
    </w:p>
    <w:p>
      <w:pPr>
        <w:spacing w:after="120"/>
        <w:jc w:val="both"/>
      </w:pPr>
      <w:r>
        <w:rPr>
          <w:rFonts w:ascii="Arial" w:cs="Arial" w:eastAsia="Arial" w:hAnsi="Arial"/>
          <w:sz w:val="24"/>
          <w:szCs w:val="24"/>
        </w:rPr>
        <w:t xml:space="preserve">     В соответствии с </w:t>
      </w:r>
      <w:hyperlink w:history="1" r:id="rIdjvpsobrjr9luxtttqcpur">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(далее – Правительство) возглавляет единую систему органов исполнительной власти в Кыргызской Республике и руководит их деятельностью. Согласно названному Закону Правительство учреждает государственные предприятия и учреждения, утверждает положения о министерствах, государственных комитетах, административных ведомствах, местных государственных администрациях, а также распределяет функции по реализации своих полномочий между министерствами, государственным комитетом, административными ведомствами и местными государственными администрациями.</w:t>
      </w:r>
    </w:p>
    <w:p>
      <w:pPr>
        <w:spacing w:after="120"/>
        <w:jc w:val="both"/>
      </w:pPr>
      <w:r>
        <w:rPr>
          <w:rFonts w:ascii="Arial" w:cs="Arial" w:eastAsia="Arial" w:hAnsi="Arial"/>
          <w:sz w:val="24"/>
          <w:szCs w:val="24"/>
        </w:rPr>
        <w:t xml:space="preserve">     Учитывая изложенное, закрепление полномочий территориальных управлений уполномоченного органа по защите детей на законодательном уровне полагаем неприемлемым.</w:t>
      </w:r>
    </w:p>
    <w:p>
      <w:pPr>
        <w:spacing w:after="120"/>
        <w:jc w:val="both"/>
      </w:pPr>
      <w:r>
        <w:rPr>
          <w:rFonts w:ascii="Arial" w:cs="Arial" w:eastAsia="Arial" w:hAnsi="Arial"/>
          <w:sz w:val="24"/>
          <w:szCs w:val="24"/>
        </w:rPr>
        <w:t xml:space="preserve">     При этом, принимая во внимание, что согласно части 1 проекта Закона порядок охраны и управления имуществом ребенка-сироты и ребенка, оставшегося без попечения родителей, будет определяться Правительством, вышеназванные вопросы полагаем целесообразным урегулировать на уровне подзаконных нормативных правовых актов.</w:t>
      </w:r>
    </w:p>
    <w:p>
      <w:pPr>
        <w:spacing w:after="120"/>
        <w:jc w:val="both"/>
      </w:pPr>
      <w:r>
        <w:rPr>
          <w:rFonts w:ascii="Arial" w:cs="Arial" w:eastAsia="Arial" w:hAnsi="Arial"/>
          <w:sz w:val="24"/>
          <w:szCs w:val="24"/>
        </w:rPr>
        <w:t xml:space="preserve">     Также следует отметить, что предпоследний абзац статьи 1 проекта Закона, предусматривающий внесение дополнений в часть 4 статьи 30 Кодекса Кыргызской Республики о детях, не соответствует абзацу третьему части 1 статьи 1 законопроекта, в части указания имущества, на отчуждение которого необходимо получение письменного согласия уполномоченного органа по защите детей, что влечет внутренние разночтения между нормами одного нормативного правового акта.</w:t>
      </w:r>
    </w:p>
    <w:p>
      <w:pPr>
        <w:spacing w:after="120"/>
        <w:jc w:val="both"/>
      </w:pPr>
      <w:r>
        <w:rPr>
          <w:rFonts w:ascii="Arial" w:cs="Arial" w:eastAsia="Arial" w:hAnsi="Arial"/>
          <w:sz w:val="24"/>
          <w:szCs w:val="24"/>
        </w:rPr>
        <w:t xml:space="preserve">Статьей 2 проекта Закона главу 6 Жилищного </w:t>
      </w:r>
      <w:hyperlink w:history="1" r:id="rIdpw6yjlsvidhrof-bnpkl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Жилищный </w:t>
      </w:r>
      <w:hyperlink w:history="1" r:id="rIdur7jd1n1laigesvn6mau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предлагается дополнить статьей, определяющей случаи, когда жилое помещение сохраняется за временно отсутствующим нанимателем или членом его семьи.</w:t>
      </w:r>
    </w:p>
    <w:p>
      <w:pPr>
        <w:spacing w:after="120"/>
        <w:jc w:val="both"/>
      </w:pPr>
      <w:r>
        <w:rPr>
          <w:rFonts w:ascii="Arial" w:cs="Arial" w:eastAsia="Arial" w:hAnsi="Arial"/>
          <w:sz w:val="24"/>
          <w:szCs w:val="24"/>
        </w:rPr>
        <w:t xml:space="preserve">В частности, согласно предлагаемому дополнению, жилое помещение сохраняется за временно отсутствующим нанимателем или членом его семьи на более длительный срок, в случаях помещения ребенка-сироты и ребенка, оставшегося без попечения родителей, на воспитание в интернатные учреждения, к родственникам, опекуну или попечителю; если в жилом помещении, из которого выбыли дети, не остались проживать другие члены семьи; заключения под стражу и лишения свободы ребенка-сироты и ребенка, оставшегося без попечения родителей.</w:t>
      </w:r>
    </w:p>
    <w:p>
      <w:pPr>
        <w:spacing w:after="120"/>
        <w:jc w:val="both"/>
      </w:pPr>
      <w:r>
        <w:rPr>
          <w:rFonts w:ascii="Arial" w:cs="Arial" w:eastAsia="Arial" w:hAnsi="Arial"/>
          <w:sz w:val="24"/>
          <w:szCs w:val="24"/>
        </w:rPr>
        <w:t xml:space="preserve">Вместе с тем, необходимо отметить, что глава 6 Жилищного </w:t>
      </w:r>
      <w:hyperlink w:history="1" r:id="rId-zmcy62tk5-zctqfag0s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которую вносятся указанные дополнения, регламентирует положения, касающиеся пользования жилыми помещениями в домах государственного и муниципального жилищного фонда (в том числе заключение договора имущественного найма жилого помещения, права и обязанности наймодателя, права и обязанности нанимателя, плата за пользование жилым помещением и коммунальные услуги).</w:t>
      </w:r>
    </w:p>
    <w:p>
      <w:pPr>
        <w:spacing w:after="120"/>
        <w:jc w:val="both"/>
      </w:pPr>
      <w:r>
        <w:rPr>
          <w:rFonts w:ascii="Arial" w:cs="Arial" w:eastAsia="Arial" w:hAnsi="Arial"/>
          <w:sz w:val="24"/>
          <w:szCs w:val="24"/>
        </w:rPr>
        <w:t xml:space="preserve">При этом данная глава не определяет случаи, когда жилое помещение сохраняется за нанимателем, в связи с чем неясно, о каких более длительных сроках сохранения жилого помещения за нанимателем, предусмотренных статьей 2 проекта, идет речь.</w:t>
      </w:r>
    </w:p>
    <w:p>
      <w:pPr>
        <w:spacing w:after="120"/>
        <w:jc w:val="both"/>
      </w:pPr>
      <w:r>
        <w:rPr>
          <w:rFonts w:ascii="Arial" w:cs="Arial" w:eastAsia="Arial" w:hAnsi="Arial"/>
          <w:sz w:val="24"/>
          <w:szCs w:val="24"/>
        </w:rPr>
        <w:t xml:space="preserve">Кроме того, содержание пункта 2 дополняемой статьи 53-1 не определяет случай сохранения жилого помещения за временно отсутствующим, а предусматривает основания внеочередного предоставления жилого помещения, которые, в свою очередь, определяются статьей 44 названного Кодекса.</w:t>
      </w:r>
    </w:p>
    <w:p>
      <w:pPr>
        <w:spacing w:after="120"/>
        <w:jc w:val="both"/>
      </w:pPr>
      <w:r>
        <w:rPr>
          <w:rFonts w:ascii="Arial" w:cs="Arial" w:eastAsia="Arial" w:hAnsi="Arial"/>
          <w:sz w:val="24"/>
          <w:szCs w:val="24"/>
        </w:rPr>
        <w:t xml:space="preserve">     Абзац второй части 1 статьи 4 проекта, предусматривающей внесение дополнений в Налоговый </w:t>
      </w:r>
      <w:hyperlink w:history="1" r:id="rId2jbmfku_j-y4dflcmorr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Налоговый </w:t>
      </w:r>
      <w:hyperlink w:history="1" r:id="rIdgth-ozloyz6wdvntc6x5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предлагаем изложить в следующей редакции:</w:t>
      </w:r>
    </w:p>
    <w:p>
      <w:pPr>
        <w:spacing w:after="120"/>
        <w:jc w:val="both"/>
      </w:pPr>
      <w:r>
        <w:rPr>
          <w:rFonts w:ascii="Arial" w:cs="Arial" w:eastAsia="Arial" w:hAnsi="Arial"/>
          <w:sz w:val="24"/>
          <w:szCs w:val="24"/>
        </w:rPr>
        <w:t xml:space="preserve">     «42. Доходы, полученные детьми-сиротами за сделки по управлению их имуществом, совершенные уполномоченным государственным органом по защите детей;».</w:t>
      </w:r>
    </w:p>
    <w:p>
      <w:pPr>
        <w:spacing w:after="120"/>
        <w:jc w:val="both"/>
      </w:pPr>
      <w:r>
        <w:rPr>
          <w:rFonts w:ascii="Arial" w:cs="Arial" w:eastAsia="Arial" w:hAnsi="Arial"/>
          <w:sz w:val="24"/>
          <w:szCs w:val="24"/>
        </w:rPr>
        <w:t xml:space="preserve">     При этом отмечаем, что статья 167 Налогового </w:t>
      </w:r>
      <w:hyperlink w:history="1" r:id="rId6copgnoc1iywgm5cbdkb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устанавливает виды доходов, необлагаемые подоходным налогом, налогоплательщиками которого являются физические лица.</w:t>
      </w:r>
    </w:p>
    <w:p>
      <w:pPr>
        <w:spacing w:after="120"/>
        <w:jc w:val="both"/>
      </w:pPr>
      <w:r>
        <w:rPr>
          <w:rFonts w:ascii="Arial" w:cs="Arial" w:eastAsia="Arial" w:hAnsi="Arial"/>
          <w:sz w:val="24"/>
          <w:szCs w:val="24"/>
        </w:rPr>
        <w:t xml:space="preserve">     Частью 2 статьи 4 проекта статью 330 указанного </w:t>
      </w:r>
      <w:hyperlink w:history="1" r:id="rIdamkyz4frruyzkppa0vhq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предлагается дополнить пунктом, предусматривающим освобождение детей-сирот от уплаты налога на имущество по объектам 1 и 4 групп.</w:t>
      </w:r>
    </w:p>
    <w:p>
      <w:pPr>
        <w:spacing w:after="120"/>
        <w:jc w:val="both"/>
      </w:pPr>
      <w:r>
        <w:rPr>
          <w:rFonts w:ascii="Arial" w:cs="Arial" w:eastAsia="Arial" w:hAnsi="Arial"/>
          <w:sz w:val="24"/>
          <w:szCs w:val="24"/>
        </w:rPr>
        <w:t xml:space="preserve">     Вместе с тем, в соответствии с частью 2 статьи 330 Налогового </w:t>
      </w:r>
      <w:hyperlink w:history="1" r:id="rIda13xq_hqdxkzalymfi_p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от уплаты налога на имущество освобождаются лица, удостоенные высшей степени отличия Кыргызской Республики «Кыргыз Республикасынын Баатыры», Герои Советского Союза и Герои Социалистического Труда, матери-героини, лица, награжденные орденами Славы и Трудовой Славы трех степеней, участники и инвалиды Великой Отечественной войны, военнослужащие, принимавшие участие по межгосударственным соглашениям в войне в Афганистане и других странах либо инвалиды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другие инвалиды, приравненные по пенсионному обеспечению к указанным категориям военнослужащих, вдовы инвалидов Великой Отечественной войны, а также инвалиды I и II групп - по одному объекту имущества 1 и/или 4 группы, являющихся объектом налогообложения, или части объекта имущества, приходящейся в соответствии с законодательством Кыргызской Республики на долю собственности освобождаемого от налога на имущество лица.</w:t>
      </w:r>
    </w:p>
    <w:p>
      <w:pPr>
        <w:spacing w:after="120"/>
        <w:jc w:val="both"/>
      </w:pPr>
      <w:r>
        <w:rPr>
          <w:rFonts w:ascii="Arial" w:cs="Arial" w:eastAsia="Arial" w:hAnsi="Arial"/>
          <w:sz w:val="24"/>
          <w:szCs w:val="24"/>
        </w:rPr>
        <w:t xml:space="preserve">Вышеуказанные лица освобождаются от уплаты налога на имущество 1 и/или 4 группы в размере 50 процентов от суммы налога на имущество, причитающейся к уплате по соответствующему облагаемому объекту имущества.</w:t>
      </w:r>
    </w:p>
    <w:p>
      <w:pPr>
        <w:spacing w:after="120"/>
        <w:jc w:val="both"/>
      </w:pPr>
      <w:r>
        <w:rPr>
          <w:rFonts w:ascii="Arial" w:cs="Arial" w:eastAsia="Arial" w:hAnsi="Arial"/>
          <w:sz w:val="24"/>
          <w:szCs w:val="24"/>
        </w:rPr>
        <w:t xml:space="preserve">Инвалиды, имеющие мотоколяски и автомобили с ручным управлением, освобождаются от налога по данным автотранспортным средствам.</w:t>
      </w:r>
    </w:p>
    <w:p>
      <w:pPr>
        <w:spacing w:after="120"/>
        <w:jc w:val="both"/>
      </w:pPr>
      <w:r>
        <w:rPr>
          <w:rFonts w:ascii="Arial" w:cs="Arial" w:eastAsia="Arial" w:hAnsi="Arial"/>
          <w:sz w:val="24"/>
          <w:szCs w:val="24"/>
        </w:rPr>
        <w:t xml:space="preserve">     Учитывая изложенное, предоставление льгот по уплате налога на все имущество 1 и 4 групп полагаем неприемлемым.</w:t>
      </w:r>
    </w:p>
    <w:p>
      <w:pPr>
        <w:spacing w:after="120"/>
        <w:jc w:val="both"/>
      </w:pPr>
      <w:r>
        <w:rPr>
          <w:rFonts w:ascii="Arial" w:cs="Arial" w:eastAsia="Arial" w:hAnsi="Arial"/>
          <w:sz w:val="24"/>
          <w:szCs w:val="24"/>
        </w:rPr>
        <w:t xml:space="preserve">Кроме того, следует отметить, что часть 1 статьи 330 названного Кодекса содержит положения, в соответствии с которыми не подлежит налогообложению площадь одного объекта имущества 1 группы (жилой дом, квартира), принадлежащего собственнику данного объекта, не превышающая установленного размера.</w:t>
      </w:r>
    </w:p>
    <w:p>
      <w:pPr>
        <w:spacing w:after="120"/>
        <w:jc w:val="both"/>
      </w:pPr>
      <w:r>
        <w:rPr>
          <w:rFonts w:ascii="Arial" w:cs="Arial" w:eastAsia="Arial" w:hAnsi="Arial"/>
          <w:sz w:val="24"/>
          <w:szCs w:val="24"/>
        </w:rPr>
        <w:t xml:space="preserve">     Частью 3 статьи 5 проекта статью 1156 Гражданского </w:t>
      </w:r>
      <w:hyperlink w:history="1" r:id="rIdoyrcu5bqfom3flk2xg5k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предлагается дополнить нормой, согласно которой несовершеннолетние наследники не имеют права отказаться от наследства.</w:t>
      </w:r>
    </w:p>
    <w:p>
      <w:pPr>
        <w:spacing w:after="120"/>
        <w:jc w:val="both"/>
      </w:pPr>
      <w:r>
        <w:rPr>
          <w:rFonts w:ascii="Arial" w:cs="Arial" w:eastAsia="Arial" w:hAnsi="Arial"/>
          <w:sz w:val="24"/>
          <w:szCs w:val="24"/>
        </w:rPr>
        <w:t xml:space="preserve">     Вместе с тем, полагаем необоснованным ограничение данного права, учитывая, что в соответствии с названным Кодексом любой наследник вправе отказаться от наследства. При этом следует принять во внимание, что в состав наследства могут входить не только права, но и обязанности, принадлежащие наследодателю на момент открытия наследства, существование которых не прекращается с его смертью.</w:t>
      </w:r>
    </w:p>
    <w:p>
      <w:pPr>
        <w:spacing w:after="120"/>
        <w:jc w:val="both"/>
      </w:pPr>
      <w:r>
        <w:rPr>
          <w:rFonts w:ascii="Arial" w:cs="Arial" w:eastAsia="Arial" w:hAnsi="Arial"/>
          <w:sz w:val="24"/>
          <w:szCs w:val="24"/>
        </w:rPr>
        <w:t xml:space="preserve">     Частью 1 статьи 6 проекта Закона предлагается пункт 7 статьи 18 </w:t>
      </w:r>
      <w:hyperlink w:history="1" r:id="rIdxskgokff4rnci6kw8wav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ними» дополнить подпунктом «д».</w:t>
      </w:r>
    </w:p>
    <w:p>
      <w:pPr>
        <w:spacing w:after="120"/>
        <w:jc w:val="both"/>
      </w:pPr>
      <w:r>
        <w:rPr>
          <w:rFonts w:ascii="Arial" w:cs="Arial" w:eastAsia="Arial" w:hAnsi="Arial"/>
          <w:sz w:val="24"/>
          <w:szCs w:val="24"/>
        </w:rPr>
        <w:t xml:space="preserve">Вместе с тем, поскольку пункт 7 статьи 18 названного Закона по своему смысловому значению имеет оговорочный характер (устанавливает исключительные случаи), полагаем целесообразным оформить предлагаемые дополнения в статью 18 в виде отдельного пункта «6-1», изложив его в следующей редакции:</w:t>
      </w:r>
    </w:p>
    <w:p>
      <w:pPr>
        <w:spacing w:after="120"/>
        <w:jc w:val="both"/>
      </w:pPr>
      <w:r>
        <w:rPr>
          <w:rFonts w:ascii="Arial" w:cs="Arial" w:eastAsia="Arial" w:hAnsi="Arial"/>
          <w:sz w:val="24"/>
          <w:szCs w:val="24"/>
        </w:rPr>
        <w:t xml:space="preserve">«6-1. Не принимаются документы, связанные с требованием передачи, изменения, прекращения или наложения ограничений на зарегистрированное право несовершеннолетних, без письменного согласия территориальных управлений уполномоченного органа по защите детей по месту нахождения недвижимого имущества.».</w:t>
      </w:r>
    </w:p>
    <w:p>
      <w:pPr>
        <w:spacing w:after="120"/>
        <w:jc w:val="both"/>
      </w:pPr>
      <w:r>
        <w:rPr>
          <w:rFonts w:ascii="Arial" w:cs="Arial" w:eastAsia="Arial" w:hAnsi="Arial"/>
          <w:sz w:val="24"/>
          <w:szCs w:val="24"/>
        </w:rPr>
        <w:t xml:space="preserve">В связи с этим предлагаем внести соответствующие поправки в абзац первый части 1 статьи 6 законопроекта.</w:t>
      </w:r>
    </w:p>
    <w:p>
      <w:pPr>
        <w:spacing w:after="120"/>
        <w:jc w:val="both"/>
      </w:pPr>
      <w:r>
        <w:rPr>
          <w:rFonts w:ascii="Arial" w:cs="Arial" w:eastAsia="Arial" w:hAnsi="Arial"/>
          <w:sz w:val="24"/>
          <w:szCs w:val="24"/>
        </w:rPr>
        <w:t xml:space="preserve">Принимая во внимание требования </w:t>
      </w:r>
      <w:hyperlink w:history="1" r:id="rId-xsffpczwuplakqs2vhv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части 2 статьи 6 проекта подпункт «ж» предлагаем заменить подпунктом «з».</w:t>
      </w:r>
    </w:p>
    <w:p>
      <w:pPr>
        <w:spacing w:after="120"/>
        <w:jc w:val="both"/>
      </w:pPr>
      <w:r>
        <w:rPr>
          <w:rFonts w:ascii="Arial" w:cs="Arial" w:eastAsia="Arial" w:hAnsi="Arial"/>
          <w:sz w:val="24"/>
          <w:szCs w:val="24"/>
        </w:rPr>
        <w:t xml:space="preserve">     По проекту Закона Кыргызской Республики «О внесении изменений и дополнений в </w:t>
      </w:r>
      <w:hyperlink w:history="1" r:id="rIdwortfbwhykq6jy44hqcc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w:t>
      </w:r>
    </w:p>
    <w:p>
      <w:pPr>
        <w:spacing w:after="120"/>
        <w:jc w:val="both"/>
      </w:pPr>
      <w:r>
        <w:rPr>
          <w:rFonts w:ascii="Arial" w:cs="Arial" w:eastAsia="Arial" w:hAnsi="Arial"/>
          <w:sz w:val="24"/>
          <w:szCs w:val="24"/>
        </w:rPr>
        <w:t xml:space="preserve">     Частью 7 статьи 1 проекта Закона глава 3 </w:t>
      </w:r>
      <w:hyperlink w:history="1" r:id="rIdeecz7sy_xp1mhfs-gjfi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дополняется рядом статей, определяющих виды социальных услуг, а также обязанности социального работника по оказанию названных услуг.</w:t>
      </w:r>
    </w:p>
    <w:p>
      <w:pPr>
        <w:spacing w:after="120"/>
        <w:jc w:val="both"/>
      </w:pPr>
      <w:r>
        <w:rPr>
          <w:rFonts w:ascii="Arial" w:cs="Arial" w:eastAsia="Arial" w:hAnsi="Arial"/>
          <w:sz w:val="24"/>
          <w:szCs w:val="24"/>
        </w:rPr>
        <w:t xml:space="preserve">     В связи с этим необходимо отметить следующее.</w:t>
      </w:r>
    </w:p>
    <w:p>
      <w:pPr>
        <w:spacing w:after="120"/>
        <w:jc w:val="both"/>
      </w:pPr>
      <w:r>
        <w:rPr>
          <w:rFonts w:ascii="Arial" w:cs="Arial" w:eastAsia="Arial" w:hAnsi="Arial"/>
          <w:sz w:val="24"/>
          <w:szCs w:val="24"/>
        </w:rPr>
        <w:t xml:space="preserve">     Вышеназванный Закон устанавливает основы правового регулирования в области социального обслуживания населения, которое представляет собой деятельность социальных служб по оказанию социально-правовых услуг, материальной помощи, проведению социальной адаптации и реабилитации граждан, находящихся в трудной жизненной ситуации.</w:t>
      </w:r>
    </w:p>
    <w:p>
      <w:pPr>
        <w:spacing w:after="120"/>
        <w:jc w:val="both"/>
      </w:pPr>
      <w:r>
        <w:rPr>
          <w:rFonts w:ascii="Arial" w:cs="Arial" w:eastAsia="Arial" w:hAnsi="Arial"/>
          <w:sz w:val="24"/>
          <w:szCs w:val="24"/>
        </w:rPr>
        <w:t xml:space="preserve">     Статья 6 данного Закона, касающаяся стандартов социального обслуживания, определяет, что социальное обслуживание населения осуществляется в соответствии с нормативными правовыми актами, устанавливающими требования к объему и качеству социальных услуг, порядку и условиям их оказания, а также то, что нормативные правовые акты, регулирующие вопросы социального обслуживания, утверждаются Правительством и органами местного самоуправления.</w:t>
      </w:r>
    </w:p>
    <w:p>
      <w:pPr>
        <w:spacing w:after="120"/>
        <w:jc w:val="both"/>
      </w:pPr>
      <w:r>
        <w:rPr>
          <w:rFonts w:ascii="Arial" w:cs="Arial" w:eastAsia="Arial" w:hAnsi="Arial"/>
          <w:sz w:val="24"/>
          <w:szCs w:val="24"/>
        </w:rPr>
        <w:t xml:space="preserve">     В частности, </w:t>
      </w:r>
      <w:hyperlink w:history="1" r:id="rIdwv7hljkd26syspkxe7x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2011 года № 255 утвержден </w:t>
      </w:r>
      <w:hyperlink w:history="1" r:id="rIduinfgx1lni6miu_htcmoh">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гарантированных социальных услуг, оказываемых населению Кыргызской Республики, устанавливающий виды социально-бытовых, социально-медицинских, социально-психологических, социально-педагогических, социально-правовых и социально-культурных услуг, предоставляемых в стационарных организациях социального обслуживания, в полустационарных организациях и учреждениях социального обслуживания (центрах или отделениях дневного пребывания), предоставляемых гражданам, не имеющим постоянного места жительства, в полустационарных организациях и учреждениях ночного пребывания, а также на дому - одиноким пожилым гражданам и лицам с ограниченными возможностями здоровья.</w:t>
      </w:r>
    </w:p>
    <w:p>
      <w:pPr>
        <w:spacing w:after="120"/>
        <w:jc w:val="both"/>
      </w:pPr>
      <w:r>
        <w:rPr>
          <w:rFonts w:ascii="Arial" w:cs="Arial" w:eastAsia="Arial" w:hAnsi="Arial"/>
          <w:sz w:val="24"/>
          <w:szCs w:val="24"/>
        </w:rPr>
        <w:t xml:space="preserve">Перечень услуг, предлагаемый проектом, значительно сужает перечень уже установленных социальных услуг, а также уменьшает объем обязанностей социальных работников при их оказании.</w:t>
      </w:r>
    </w:p>
    <w:p>
      <w:pPr>
        <w:spacing w:after="120"/>
        <w:jc w:val="both"/>
      </w:pPr>
      <w:r>
        <w:rPr>
          <w:rFonts w:ascii="Arial" w:cs="Arial" w:eastAsia="Arial" w:hAnsi="Arial"/>
          <w:sz w:val="24"/>
          <w:szCs w:val="24"/>
        </w:rPr>
        <w:t xml:space="preserve">     На основании изложенного полагаем нецелесообразным закрепление на законодательном уровне перечня оказываемых социальных услуг и функциональных обязанностей социальных работников.</w:t>
      </w:r>
    </w:p>
    <w:p>
      <w:pPr>
        <w:spacing w:after="120"/>
        <w:jc w:val="both"/>
      </w:pPr>
      <w:r>
        <w:rPr>
          <w:rFonts w:ascii="Arial" w:cs="Arial" w:eastAsia="Arial" w:hAnsi="Arial"/>
          <w:sz w:val="24"/>
          <w:szCs w:val="24"/>
        </w:rPr>
        <w:t xml:space="preserve">     Кроме того, дополняемая статья 24-2, предусмотренная частью 7 статьи 1 проекта Закона, не соответствует требованиям </w:t>
      </w:r>
      <w:hyperlink w:history="1" r:id="rIdvsfiyzfvvxgh-rz9zwhf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гарантированной государственном юридической помощи», в соответствии с которым правом на получение гарантированной государством юридической помощи обладают граждане Кыргызской Республики, годовой доход которых не превышает установленного Правительством уровня минимального дохода, </w:t>
      </w:r>
      <w:r>
        <w:rPr>
          <w:rFonts w:ascii="Arial" w:cs="Arial" w:eastAsia="Arial" w:hAnsi="Arial"/>
          <w:sz w:val="24"/>
          <w:szCs w:val="24"/>
        </w:rPr>
        <w:t xml:space="preserve">а также несовершеннолетние, лица, обладающие 1 и 2 группами инвалидности, лица с существенными нарушениями функций речи, слуха, зрения, страдающие психическими заболеваниями, лица, подозреваемые, обвиняемые в совершении особо тяжких преступлений, безработные, состоящие на учете в службе занятости, военнослужащие срочной службы.</w:t>
      </w:r>
    </w:p>
    <w:p>
      <w:pPr>
        <w:spacing w:after="120"/>
        <w:jc w:val="both"/>
      </w:pPr>
      <w:r>
        <w:rPr>
          <w:rFonts w:ascii="Arial" w:cs="Arial" w:eastAsia="Arial" w:hAnsi="Arial"/>
          <w:sz w:val="24"/>
          <w:szCs w:val="24"/>
        </w:rPr>
        <w:t xml:space="preserve">Абзац пятый части 3 статьи 1 проекта предлагаем исключить. При этом отмечаем, что </w:t>
      </w:r>
      <w:hyperlink w:history="1" r:id="rIdvkaozdzqirjinqatda8u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25 ноября 2013 года № 640 утверждены государственные </w:t>
      </w:r>
      <w:hyperlink w:history="1" r:id="rIdzy-8q7afi83_ebaga4xmd">
        <w:r>
          <w:rPr>
            <w:rFonts w:ascii="Arial" w:cs="Arial" w:eastAsia="Arial" w:hAnsi="Arial"/>
            <w:color w:val="1D4ED8"/>
            <w:sz w:val="24"/>
            <w:szCs w:val="24"/>
            <w:u w:val="single"/>
          </w:rPr>
          <w:t xml:space="preserve">минимальные социальные стандарты</w:t>
        </w:r>
      </w:hyperlink>
      <w:r>
        <w:rPr>
          <w:rFonts w:ascii="Arial" w:cs="Arial" w:eastAsia="Arial" w:hAnsi="Arial"/>
          <w:sz w:val="24"/>
          <w:szCs w:val="24"/>
        </w:rPr>
        <w:t xml:space="preserve"> социальных услуг, предоставляемых лицам без определенного места жительства в домах ночного пребывания.</w:t>
      </w:r>
    </w:p>
    <w:p>
      <w:pPr>
        <w:spacing w:after="120"/>
        <w:jc w:val="both"/>
      </w:pPr>
      <w:r>
        <w:rPr>
          <w:rFonts w:ascii="Arial" w:cs="Arial" w:eastAsia="Arial" w:hAnsi="Arial"/>
          <w:sz w:val="24"/>
          <w:szCs w:val="24"/>
        </w:rPr>
        <w:t xml:space="preserve">В абзаце четвертом части 4 статьи 1 проекта Закона слово «Минимальные» предлагаем заменить словами «Государственные минимальные».</w:t>
      </w:r>
    </w:p>
    <w:p>
      <w:pPr>
        <w:spacing w:after="120"/>
        <w:jc w:val="both"/>
      </w:pPr>
      <w:r>
        <w:rPr>
          <w:rFonts w:ascii="Arial" w:cs="Arial" w:eastAsia="Arial" w:hAnsi="Arial"/>
          <w:sz w:val="24"/>
          <w:szCs w:val="24"/>
        </w:rPr>
        <w:t xml:space="preserve">     По проекту Закона Кыргызской Республики «О внесении изменения и дополнения в </w:t>
      </w:r>
      <w:hyperlink w:history="1" r:id="rIdtmiqvpz7gddk8ep2ejrh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Проектом предлагается главу 3 </w:t>
      </w:r>
      <w:hyperlink w:history="1" r:id="rIdcogrsqot7d-fxhndg3n-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дополнить статьей, предусматривающей право указанных лиц выступать усыновителями, опекунами (попечителями) детей-сирот и детей, оставшихся без попечения родителей.</w:t>
      </w:r>
    </w:p>
    <w:p>
      <w:pPr>
        <w:spacing w:after="120"/>
        <w:jc w:val="both"/>
      </w:pPr>
      <w:r>
        <w:rPr>
          <w:rFonts w:ascii="Arial" w:cs="Arial" w:eastAsia="Arial" w:hAnsi="Arial"/>
          <w:sz w:val="24"/>
          <w:szCs w:val="24"/>
        </w:rPr>
        <w:t xml:space="preserve">В связи с этим необходимо отметить, что правоотношения, связанные с защитой детей, оставшихся без попечения родителей, в том числе выявление и устройство детей, оставшихся без попечения родителей, усыновление (удочерение) детей, опека и попечительство над детьми, регулируются </w:t>
      </w:r>
      <w:hyperlink w:history="1" r:id="rId-1smhrbeqke64yfpuqtk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являющимся специализированным нормативным правовым актом, регулирующим данную сферу правоотношений и обладающим более высокой юридической силой по сравнению с указанным Законом.</w:t>
      </w:r>
    </w:p>
    <w:p>
      <w:pPr>
        <w:spacing w:after="120"/>
        <w:jc w:val="both"/>
      </w:pPr>
      <w:r>
        <w:rPr>
          <w:rFonts w:ascii="Arial" w:cs="Arial" w:eastAsia="Arial" w:hAnsi="Arial"/>
          <w:sz w:val="24"/>
          <w:szCs w:val="24"/>
        </w:rPr>
        <w:t xml:space="preserve">На основании изложенного Правительство Кыргызской Республики считает возможным принятие проектов законов Кыргызской Республики «О внесении дополнений и изменения в некоторые законодательные акты Кыргызской Республики», «О внесении изменений и дополнений в </w:t>
      </w:r>
      <w:hyperlink w:history="1" r:id="rIdbrmr20m2ht91oyz6gi73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с учетом замечаний и предложений, изложенных в настоящем заключении, и считает нецелесообразным принятие проекта Закона Кыргызской Республики «О внесении изменения и дополнений в </w:t>
      </w:r>
      <w:hyperlink w:history="1" r:id="rIdfarhellyfk-2h-f0wdry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a2zlr0vx89-rdb4h3vd">
      <w:r>
        <w:rPr>
          <w:rFonts w:ascii="Arial" w:cs="Arial" w:eastAsia="Arial" w:hAnsi="Arial"/>
          <w:color w:val="132D3F"/>
          <w:sz w:val="16"/>
          <w:szCs w:val="16"/>
          <w:u w:val="single"/>
        </w:rPr>
        <w:t xml:space="preserve">dalil.kg/document/96762</w:t>
      </w:r>
    </w:hyperlink>
  </w:p>
  <w:p>
    <w:pPr>
      <w:spacing w:after="0" w:before="40"/>
      <w:jc w:val="center"/>
    </w:pPr>
    <w:hyperlink w:history="1" r:id="rIdae85qrtpirewafxpil4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fyvaamvp1xelnd_tshqa" Type="http://schemas.openxmlformats.org/officeDocument/2006/relationships/hyperlink" Target="https://dalil.kg/document/96761" TargetMode="External"/><Relationship Id="rIdpsxad7cdbcdkoqclvl1n2" Type="http://schemas.openxmlformats.org/officeDocument/2006/relationships/hyperlink" Target="https://dalil.kg/document/203685" TargetMode="External"/><Relationship Id="rIdulfwrnan_9gg8yrosjs_0" Type="http://schemas.openxmlformats.org/officeDocument/2006/relationships/hyperlink" Target="https://dalil.kg/document/943" TargetMode="External"/><Relationship Id="rIdzwk7x4wmjyftwbbpxelvv" Type="http://schemas.openxmlformats.org/officeDocument/2006/relationships/hyperlink" Target="https://dalil.kg/document/202329" TargetMode="External"/><Relationship Id="rIdnsnelinuxn92tehvrcsvs" Type="http://schemas.openxmlformats.org/officeDocument/2006/relationships/hyperlink" Target="https://dalil.kg/document/203700" TargetMode="External"/><Relationship Id="rIddsblcm2od4decwavcmaoj" Type="http://schemas.openxmlformats.org/officeDocument/2006/relationships/hyperlink" Target="https://dalil.kg/document/4" TargetMode="External"/><Relationship Id="rIdnlvl9dhwesgpa2jyevyaw" Type="http://schemas.openxmlformats.org/officeDocument/2006/relationships/hyperlink" Target="https://dalil.kg/document/4" TargetMode="External"/><Relationship Id="rIdu54zy76q6vkkxl_n3jhkj" Type="http://schemas.openxmlformats.org/officeDocument/2006/relationships/hyperlink" Target="https://dalil.kg/document/4" TargetMode="External"/><Relationship Id="rIdudsgjqunrzqfi2oudqz-i" Type="http://schemas.openxmlformats.org/officeDocument/2006/relationships/hyperlink" Target="https://dalil.kg/document/4" TargetMode="External"/><Relationship Id="rId8-wihbxtyrhlztnhkbrpu" Type="http://schemas.openxmlformats.org/officeDocument/2006/relationships/hyperlink" Target="https://dalil.kg/document/4" TargetMode="External"/><Relationship Id="rIdwnyegcyzyk0wdvgc7p_nk" Type="http://schemas.openxmlformats.org/officeDocument/2006/relationships/hyperlink" Target="https://dalil.kg/document/4" TargetMode="External"/><Relationship Id="rIdyy1bgiokjdiqnfcnlbqo7" Type="http://schemas.openxmlformats.org/officeDocument/2006/relationships/hyperlink" Target="https://dalil.kg/document/4" TargetMode="External"/><Relationship Id="rIdfcndmblkjvu9vhhmnr45s" Type="http://schemas.openxmlformats.org/officeDocument/2006/relationships/hyperlink" Target="https://dalil.kg/document/4" TargetMode="External"/><Relationship Id="rIdxxq5qzbgqvllexi3xrk5c" Type="http://schemas.openxmlformats.org/officeDocument/2006/relationships/hyperlink" Target="https://dalil.kg/document/4" TargetMode="External"/><Relationship Id="rIdebzmysr8krecn1yrxv4s5" Type="http://schemas.openxmlformats.org/officeDocument/2006/relationships/hyperlink" Target="https://dalil.kg/document/4" TargetMode="External"/><Relationship Id="rIdcaiq87e3uqe6ve6capnxb" Type="http://schemas.openxmlformats.org/officeDocument/2006/relationships/hyperlink" Target="https://dalil.kg/document/4" TargetMode="External"/><Relationship Id="rIdkqpni6t_4aazmbrnxtvnj" Type="http://schemas.openxmlformats.org/officeDocument/2006/relationships/hyperlink" Target="https://dalil.kg/document/4" TargetMode="External"/><Relationship Id="rIdlyso10b8oxqssxufjz6ul" Type="http://schemas.openxmlformats.org/officeDocument/2006/relationships/hyperlink" Target="https://dalil.kg/document/202591" TargetMode="External"/><Relationship Id="rId9fr5e7ihyoob5gckcvrzi" Type="http://schemas.openxmlformats.org/officeDocument/2006/relationships/hyperlink" Target="https://dalil.kg/document/4" TargetMode="External"/><Relationship Id="rIdjvpsobrjr9luxtttqcpur" Type="http://schemas.openxmlformats.org/officeDocument/2006/relationships/hyperlink" Target="https://dalil.kg/document/203685" TargetMode="External"/><Relationship Id="rIdpw6yjlsvidhrof-bnpkl9" Type="http://schemas.openxmlformats.org/officeDocument/2006/relationships/hyperlink" Target="https://dalil.kg/document/203926" TargetMode="External"/><Relationship Id="rIdur7jd1n1laigesvn6mau3" Type="http://schemas.openxmlformats.org/officeDocument/2006/relationships/hyperlink" Target="https://dalil.kg/document/203926" TargetMode="External"/><Relationship Id="rId-zmcy62tk5-zctqfag0sn" Type="http://schemas.openxmlformats.org/officeDocument/2006/relationships/hyperlink" Target="https://dalil.kg/document/203926" TargetMode="External"/><Relationship Id="rId2jbmfku_j-y4dflcmorr1" Type="http://schemas.openxmlformats.org/officeDocument/2006/relationships/hyperlink" Target="https://dalil.kg/document/202445" TargetMode="External"/><Relationship Id="rIdgth-ozloyz6wdvntc6x5s" Type="http://schemas.openxmlformats.org/officeDocument/2006/relationships/hyperlink" Target="https://dalil.kg/document/202445" TargetMode="External"/><Relationship Id="rId6copgnoc1iywgm5cbdkbh" Type="http://schemas.openxmlformats.org/officeDocument/2006/relationships/hyperlink" Target="https://dalil.kg/document/202445" TargetMode="External"/><Relationship Id="rIdamkyz4frruyzkppa0vhq8" Type="http://schemas.openxmlformats.org/officeDocument/2006/relationships/hyperlink" Target="https://dalil.kg/document/202445" TargetMode="External"/><Relationship Id="rIda13xq_hqdxkzalymfi_pa" Type="http://schemas.openxmlformats.org/officeDocument/2006/relationships/hyperlink" Target="https://dalil.kg/document/202445" TargetMode="External"/><Relationship Id="rIdoyrcu5bqfom3flk2xg5kc" Type="http://schemas.openxmlformats.org/officeDocument/2006/relationships/hyperlink" Target="https://dalil.kg/document/4" TargetMode="External"/><Relationship Id="rIdxskgokff4rnci6kw8wavf" Type="http://schemas.openxmlformats.org/officeDocument/2006/relationships/hyperlink" Target="https://dalil.kg/document/160" TargetMode="External"/><Relationship Id="rId-xsffpczwuplakqs2vhvc" Type="http://schemas.openxmlformats.org/officeDocument/2006/relationships/hyperlink" Target="https://dalil.kg/document/202591" TargetMode="External"/><Relationship Id="rIdwortfbwhykq6jy44hqccc" Type="http://schemas.openxmlformats.org/officeDocument/2006/relationships/hyperlink" Target="https://dalil.kg/document/943" TargetMode="External"/><Relationship Id="rIdeecz7sy_xp1mhfs-gjfiu" Type="http://schemas.openxmlformats.org/officeDocument/2006/relationships/hyperlink" Target="https://dalil.kg/document/943" TargetMode="External"/><Relationship Id="rIdwv7hljkd26syspkxe7xmg" Type="http://schemas.openxmlformats.org/officeDocument/2006/relationships/hyperlink" Target="https://dalil.kg/document/92626" TargetMode="External"/><Relationship Id="rIduinfgx1lni6miu_htcmoh" Type="http://schemas.openxmlformats.org/officeDocument/2006/relationships/hyperlink" Target="https://dalil.kg/document/92711" TargetMode="External"/><Relationship Id="rIdvsfiyzfvvxgh-rz9zwhf5" Type="http://schemas.openxmlformats.org/officeDocument/2006/relationships/hyperlink" Target="https://dalil.kg/document/203186" TargetMode="External"/><Relationship Id="rIdvkaozdzqirjinqatda8ue" Type="http://schemas.openxmlformats.org/officeDocument/2006/relationships/hyperlink" Target="https://dalil.kg/document/94839" TargetMode="External"/><Relationship Id="rIdzy-8q7afi83_ebaga4xmd" Type="http://schemas.openxmlformats.org/officeDocument/2006/relationships/hyperlink" Target="https://dalil.kg/document/94839#&#1088;1" TargetMode="External"/><Relationship Id="rIdtmiqvpz7gddk8ep2ejrhe" Type="http://schemas.openxmlformats.org/officeDocument/2006/relationships/hyperlink" Target="https://dalil.kg/document/202329" TargetMode="External"/><Relationship Id="rIdcogrsqot7d-fxhndg3n-e" Type="http://schemas.openxmlformats.org/officeDocument/2006/relationships/hyperlink" Target="https://dalil.kg/document/202329" TargetMode="External"/><Relationship Id="rId-1smhrbeqke64yfpuqtkx" Type="http://schemas.openxmlformats.org/officeDocument/2006/relationships/hyperlink" Target="https://dalil.kg/document/203700" TargetMode="External"/><Relationship Id="rIdbrmr20m2ht91oyz6gi73v" Type="http://schemas.openxmlformats.org/officeDocument/2006/relationships/hyperlink" Target="https://dalil.kg/document/943" TargetMode="External"/><Relationship Id="rIdfarhellyfk-2h-f0wdryk" Type="http://schemas.openxmlformats.org/officeDocument/2006/relationships/hyperlink" Target="https://dalil.kg/document/202329"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a2zlr0vx89-rdb4h3vd" Type="http://schemas.openxmlformats.org/officeDocument/2006/relationships/hyperlink" Target="https://dalil.kg/document/96762" TargetMode="External"/><Relationship Id="rIdae85qrtpirewafxpil4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2026-09-24T03:10:28.450Z</dcterms:created>
  <dcterms:modified xsi:type="dcterms:W3CDTF">2026-09-24T03:10:28.450Z</dcterms:modified>
</cp:coreProperties>
</file>

<file path=docProps/custom.xml><?xml version="1.0" encoding="utf-8"?>
<Properties xmlns="http://schemas.openxmlformats.org/officeDocument/2006/custom-properties" xmlns:vt="http://schemas.openxmlformats.org/officeDocument/2006/docPropsVTypes"/>
</file>