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xzzlmna4xhtj7qyosymw5">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ПРАВИТЕЛЬСТВО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8 августа 2014 года № 458</w:t>
      </w:r>
    </w:p>
    <w:p>
      <w:pPr>
        <w:spacing w:after="120"/>
        <w:jc w:val="both"/>
      </w:pPr>
      <w:r>
        <w:rPr>
          <w:rFonts w:ascii="Arial" w:cs="Arial" w:eastAsia="Arial" w:hAnsi="Arial"/>
          <w:sz w:val="24"/>
          <w:szCs w:val="24"/>
        </w:rPr>
        <w:t xml:space="preserve">Об отчете об исполнении бюджета Социального фонда</w:t>
      </w:r>
    </w:p>
    <w:p>
      <w:pPr>
        <w:spacing w:after="120"/>
        <w:jc w:val="both"/>
      </w:pPr>
      <w:r>
        <w:rPr>
          <w:rFonts w:ascii="Arial" w:cs="Arial" w:eastAsia="Arial" w:hAnsi="Arial"/>
          <w:sz w:val="24"/>
          <w:szCs w:val="24"/>
        </w:rPr>
        <w:t xml:space="preserve">Кыргызской Республики за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5 </w:t>
      </w:r>
      <w:hyperlink w:history="1" r:id="rIdzc2r3i1_syzrovb5sk1j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1.Одобрить прилагаемый отчет об исполнении бюджета Социального фонда Кыргызской Республики за 2013 год.</w:t>
      </w:r>
    </w:p>
    <w:p>
      <w:pPr>
        <w:spacing w:after="120"/>
        <w:jc w:val="both"/>
      </w:pPr>
      <w:r>
        <w:rPr>
          <w:rFonts w:ascii="Arial" w:cs="Arial" w:eastAsia="Arial" w:hAnsi="Arial"/>
          <w:sz w:val="24"/>
          <w:szCs w:val="24"/>
        </w:rPr>
        <w:t xml:space="preserve">2.Направить вышеуказанный отчет на утверждение в Жогорку Кенеш Кыргызской Республики.</w:t>
      </w:r>
    </w:p>
    <w:p>
      <w:pPr>
        <w:spacing w:after="120"/>
        <w:jc w:val="both"/>
      </w:pPr>
      <w:r>
        <w:rPr>
          <w:rFonts w:ascii="Arial" w:cs="Arial" w:eastAsia="Arial" w:hAnsi="Arial"/>
          <w:sz w:val="24"/>
          <w:szCs w:val="24"/>
        </w:rPr>
        <w:t xml:space="preserve">3.Настоящее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об исполнении бюджета Социального фонда</w:t>
      </w:r>
    </w:p>
    <w:p>
      <w:pPr>
        <w:spacing w:after="120"/>
        <w:jc w:val="both"/>
      </w:pPr>
      <w:r>
        <w:rPr>
          <w:rFonts w:ascii="Arial" w:cs="Arial" w:eastAsia="Arial" w:hAnsi="Arial"/>
          <w:sz w:val="24"/>
          <w:szCs w:val="24"/>
        </w:rPr>
        <w:t xml:space="preserve">Кыргызской Республики за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доходы Социального фонда Кыргызской Республики (далее - Социальный фонд) в 2013 году, с учетом остатка на начало года, составили 34650507,1 тыс. сомов (9,9 % к ВВП), что на 99,6 процента меньше уточненного бюджета, в том числе страховых взносов поступило 20449124,7 тыс. сомов при плане 20602563,6 тыс. сомов или выполнение плана составило 99,3 процента. Из общей суммы страховых взносов 19104657,4 тыс. сомов являются текущими платежами и 1344467,2 тыс. сомов - поступлением просроченной задолженности за прошлые годы (</w:t>
      </w:r>
      <w:hyperlink w:history="1" r:id="rIdpk0gjuk7oisgqh_z9bsx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Причиной невыполнения плана по страховым взносам является сложившаяся ситуация по уплате текущих страховых взносов многими государственными и стратегическими предприятиями и организациями.</w:t>
      </w:r>
    </w:p>
    <w:p>
      <w:pPr>
        <w:spacing w:after="120"/>
        <w:jc w:val="both"/>
      </w:pPr>
      <w:r>
        <w:rPr>
          <w:rFonts w:ascii="Arial" w:cs="Arial" w:eastAsia="Arial" w:hAnsi="Arial"/>
          <w:sz w:val="24"/>
          <w:szCs w:val="24"/>
        </w:rPr>
        <w:t xml:space="preserve">Наиболее крупные суммы задолженности по уплате текущих страховых взносов (свыше 5000 млн сомов) на 01.01.2014 года имеют следующие предприятия: муниципальное предприятие «Тазалык» г. Бишкек (29193,3 тыс. сомов), Бишкекское пассажирское автотранспортное предприятие (21729,4 тыс. сомов), Государственное предприятие «Бишкекский штамповочный завод» (6859,6 тыс. сомов), общество с ограниченной ответственностью «Интергласс» (17316,2 тыс. сомов), Нарынский филиал открытого акционерного общества «Востокэлектро» (22061,6 тыс. сомов), Караколский филиал открытого акционерного общества «Востокэлектро» (7314,3 тыс. сомов), открытое акционерное общество «Нарынгидроэнергострой» (19324,2 тыс. сомов), открытое акционерное общество «Нарынспецгидроэнергомонтаж» (4512,7 тыс. сомов).</w:t>
      </w:r>
    </w:p>
    <w:p>
      <w:pPr>
        <w:spacing w:after="120"/>
        <w:jc w:val="both"/>
      </w:pPr>
      <w:r>
        <w:rPr>
          <w:rFonts w:ascii="Arial" w:cs="Arial" w:eastAsia="Arial" w:hAnsi="Arial"/>
          <w:sz w:val="24"/>
          <w:szCs w:val="24"/>
        </w:rPr>
        <w:t xml:space="preserve">Кроме того, уменьшились поступления страховых взносов от организованного сектора сельского хозяйства в соответствии с Законом Кыргызской Республики «О внесении дополнений в </w:t>
      </w:r>
      <w:hyperlink w:history="1" r:id="rIdek7cg6bqb69plbkq1-qq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от 8 августа 2012 года № 156, согласно которому тарифы страховых взносов для сельскохозяйственных кооперативов по производству сельскохозяйственной продукции были уменьшены.</w:t>
      </w:r>
    </w:p>
    <w:p>
      <w:pPr>
        <w:spacing w:after="120"/>
        <w:jc w:val="both"/>
      </w:pPr>
      <w:r>
        <w:rPr>
          <w:rFonts w:ascii="Arial" w:cs="Arial" w:eastAsia="Arial" w:hAnsi="Arial"/>
          <w:sz w:val="24"/>
          <w:szCs w:val="24"/>
        </w:rPr>
        <w:t xml:space="preserve">По сравнению с 2012 годом рост поступлений страховых взносов составил 108,8 процента или на 1655808,5 тыс. сомов больше.</w:t>
      </w:r>
    </w:p>
    <w:p>
      <w:pPr>
        <w:spacing w:after="120"/>
        <w:jc w:val="both"/>
      </w:pPr>
      <w:r>
        <w:rPr>
          <w:rFonts w:ascii="Arial" w:cs="Arial" w:eastAsia="Arial" w:hAnsi="Arial"/>
          <w:sz w:val="24"/>
          <w:szCs w:val="24"/>
        </w:rPr>
        <w:t xml:space="preserve">Обязательные ассигнования из республиканского бюджета на пенсионные выплаты военнослужащим, выплаты льготных пенсий и надбавок к пенсиям, компенсационные выплаты за электрическую энергию поступили в полном объеме, согласно уточненному бюджету на 2013 год, в сумме 13049306,2 тыс. сомов, в том числе погашена задолженность республиканского бюджета перед Социальным фондом за 2012 год в сумме 147016,2 тыс. сомов (</w:t>
      </w:r>
      <w:hyperlink w:history="1" r:id="rIdzq4u2d7vgyylakqgz8da2">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2013 году Социальным фондом от размещения свободных денежных средств на срочные депозитные счета в коммерческих банках Кыргызской Республики, от пени и штрафов, дивидендов, процентов на ежедневные остатки на счетах Социального фонда и от других источников получен доход в сумме 183684,0 тыс. сомов.</w:t>
      </w:r>
    </w:p>
    <w:p>
      <w:pPr>
        <w:spacing w:after="120"/>
        <w:jc w:val="both"/>
      </w:pPr>
      <w:r>
        <w:rPr>
          <w:rFonts w:ascii="Arial" w:cs="Arial" w:eastAsia="Arial" w:hAnsi="Arial"/>
          <w:sz w:val="24"/>
          <w:szCs w:val="24"/>
        </w:rPr>
        <w:t xml:space="preserve">Расходы Социального фонда в 2013 году составили 34022514,5 тыс.сомов, в том числе:</w:t>
      </w:r>
    </w:p>
    <w:p>
      <w:pPr>
        <w:spacing w:after="120"/>
        <w:jc w:val="both"/>
      </w:pPr>
      <w:r>
        <w:rPr>
          <w:rFonts w:ascii="Arial" w:cs="Arial" w:eastAsia="Arial" w:hAnsi="Arial"/>
          <w:sz w:val="24"/>
          <w:szCs w:val="24"/>
        </w:rPr>
        <w:t xml:space="preserve">- Пенсионного фонда – 31494469,5 тыс. сомов (приложение 2);</w:t>
      </w:r>
    </w:p>
    <w:p>
      <w:pPr>
        <w:spacing w:after="120"/>
        <w:jc w:val="both"/>
      </w:pPr>
      <w:r>
        <w:rPr>
          <w:rFonts w:ascii="Arial" w:cs="Arial" w:eastAsia="Arial" w:hAnsi="Arial"/>
          <w:sz w:val="24"/>
          <w:szCs w:val="24"/>
        </w:rPr>
        <w:t xml:space="preserve">- Фонда обязательного медицинского страхования – 1389978,6 тыс. сомов (</w:t>
      </w:r>
      <w:hyperlink w:history="1" r:id="rIdabtr33wwtyxj6xrifwbrs">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Фонда оздоровления трудящихся – 174440,5 тыс. сомов  (приложение 4);</w:t>
      </w:r>
    </w:p>
    <w:p>
      <w:pPr>
        <w:spacing w:after="120"/>
        <w:jc w:val="both"/>
      </w:pPr>
      <w:r>
        <w:rPr>
          <w:rFonts w:ascii="Arial" w:cs="Arial" w:eastAsia="Arial" w:hAnsi="Arial"/>
          <w:sz w:val="24"/>
          <w:szCs w:val="24"/>
        </w:rPr>
        <w:t xml:space="preserve">- Государственного накопительного пенсионного фонда –  963625,9 тыс. сомов (</w:t>
      </w:r>
      <w:hyperlink w:history="1" r:id="rId0npv7cjwingatxhcxtr5x">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2013 году за счет повышения размеров пенсий и пособий расходы Пенсионного фонда против 2012 года возросли на 3227675,5 тыс. сомов и составили 31494469,5 тыс.сомов.</w:t>
      </w:r>
    </w:p>
    <w:p>
      <w:pPr>
        <w:spacing w:after="120"/>
        <w:jc w:val="both"/>
      </w:pPr>
      <w:r>
        <w:rPr>
          <w:rFonts w:ascii="Arial" w:cs="Arial" w:eastAsia="Arial" w:hAnsi="Arial"/>
          <w:sz w:val="24"/>
          <w:szCs w:val="24"/>
        </w:rPr>
        <w:t xml:space="preserve">В целях повышения жизненного уровня пенсионеров, во исполнение пункта 91 Плана мероприятий, утвержденного </w:t>
      </w:r>
      <w:hyperlink w:history="1" r:id="rIdg8vm9ju7ng8a_f59y9vq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Плана мероприятий на 2013 год по реализации Программы деятельности Правительства Кыргызской Республики» от 5 марта 2013 года № 111, приняты нормативные правовые акты, предусматривающие повышение страховых частей пенсий с 1 октября 2013 года:</w:t>
      </w:r>
    </w:p>
    <w:p>
      <w:pPr>
        <w:spacing w:after="120"/>
        <w:jc w:val="both"/>
      </w:pPr>
      <w:r>
        <w:rPr>
          <w:rFonts w:ascii="Arial" w:cs="Arial" w:eastAsia="Arial" w:hAnsi="Arial"/>
          <w:sz w:val="24"/>
          <w:szCs w:val="24"/>
        </w:rPr>
        <w:t xml:space="preserve">- </w:t>
      </w:r>
      <w:hyperlink w:history="1" r:id="rId_cl0zw6fsausn6ak0huj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«О государственном пенсионном социальном страховании», «О поправочных коэффициентах к заработной плате для исчисления пенсий») от 6 ноября 2013 года № 200;</w:t>
      </w:r>
    </w:p>
    <w:p>
      <w:pPr>
        <w:spacing w:after="120"/>
        <w:jc w:val="both"/>
      </w:pPr>
      <w:r>
        <w:rPr>
          <w:rFonts w:ascii="Arial" w:cs="Arial" w:eastAsia="Arial" w:hAnsi="Arial"/>
          <w:sz w:val="24"/>
          <w:szCs w:val="24"/>
        </w:rPr>
        <w:t xml:space="preserve">- </w:t>
      </w:r>
      <w:hyperlink w:history="1" r:id="rIdmht04ftp-daqvjp1mhjh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повышении страховых частей пенсий с 1 октября 2013 года» от 6 сентября 2013 года № 482;</w:t>
      </w:r>
    </w:p>
    <w:p>
      <w:pPr>
        <w:spacing w:after="120"/>
        <w:jc w:val="both"/>
      </w:pPr>
      <w:r>
        <w:rPr>
          <w:rFonts w:ascii="Arial" w:cs="Arial" w:eastAsia="Arial" w:hAnsi="Arial"/>
          <w:sz w:val="24"/>
          <w:szCs w:val="24"/>
        </w:rPr>
        <w:t xml:space="preserve">- </w:t>
      </w:r>
      <w:hyperlink w:history="1" r:id="rIdezxh732dkcs9z6cs7t_p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6 сентября 2013 года № 483.</w:t>
      </w:r>
    </w:p>
    <w:p>
      <w:pPr>
        <w:spacing w:after="120"/>
        <w:jc w:val="both"/>
      </w:pPr>
      <w:r>
        <w:rPr>
          <w:rFonts w:ascii="Arial" w:cs="Arial" w:eastAsia="Arial" w:hAnsi="Arial"/>
          <w:sz w:val="24"/>
          <w:szCs w:val="24"/>
        </w:rPr>
        <w:t xml:space="preserve">По состоянию на 1 января 2014 года, численность пенсионеров составила 580,8 тыс. человек, средний размер пенсии составил 4432 сома, при этом соотношение среднего размера пенсии к прожиточному минимуму пенсионера составило 108,2 %.</w:t>
      </w:r>
    </w:p>
    <w:p>
      <w:pPr>
        <w:spacing w:after="120"/>
        <w:jc w:val="both"/>
      </w:pPr>
      <w:r>
        <w:rPr>
          <w:rFonts w:ascii="Arial" w:cs="Arial" w:eastAsia="Arial" w:hAnsi="Arial"/>
          <w:sz w:val="24"/>
          <w:szCs w:val="24"/>
        </w:rPr>
        <w:t xml:space="preserve">В 2013 году задолженности по выплате пенсий не допущено. По состоянию на 1 января 2014 года, вся потребная сумма на выплату пенсий, с учетом компенсационных выплат за электроэнергию, в объеме 29031969,7 тыс. сомов профинансирована полностью.</w:t>
      </w:r>
    </w:p>
    <w:p>
      <w:pPr>
        <w:spacing w:after="120"/>
        <w:jc w:val="both"/>
      </w:pPr>
      <w:r>
        <w:rPr>
          <w:rFonts w:ascii="Arial" w:cs="Arial" w:eastAsia="Arial" w:hAnsi="Arial"/>
          <w:sz w:val="24"/>
          <w:szCs w:val="24"/>
        </w:rPr>
        <w:t xml:space="preserve">В соответствии с </w:t>
      </w:r>
      <w:hyperlink w:history="1" r:id="rIdnqcfkeripvp4dvu_j40t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в 2013 году пособия на погребение  пенсионеров выплачены в сумме 302220,0 тыс. сомов.</w:t>
      </w:r>
    </w:p>
    <w:p>
      <w:pPr>
        <w:spacing w:after="120"/>
        <w:jc w:val="both"/>
      </w:pPr>
      <w:r>
        <w:rPr>
          <w:rFonts w:ascii="Arial" w:cs="Arial" w:eastAsia="Arial" w:hAnsi="Arial"/>
          <w:sz w:val="24"/>
          <w:szCs w:val="24"/>
        </w:rPr>
        <w:t xml:space="preserve">В 2013 году финансирование Фонда обязательного медицинского страхования осуществлено в сумме 1389978,6 тыс. сомов, Фонда оздоровления трудящихся - в сумме 174440,5 тыс. сомов.</w:t>
      </w:r>
    </w:p>
    <w:p>
      <w:pPr>
        <w:spacing w:after="120"/>
        <w:jc w:val="both"/>
      </w:pPr>
      <w:hyperlink w:history="1" r:id="rIddl08pxp8jztno1dgoad2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установлены правовые основы регулирования отношений по формированию и инвестированию средств пенсионных накоплений, предназначенных для финансирования накопительной части пенсии по государственному социальному страхованию. На основании статьи 24 вышеуказанного Закона Кыргызской Республики Социальный фонд осуществляет доверительное управление средствами пенсионных накоплений до 31 декабря 2016 года.</w:t>
      </w:r>
    </w:p>
    <w:p>
      <w:pPr>
        <w:spacing w:after="120"/>
        <w:jc w:val="both"/>
      </w:pPr>
      <w:r>
        <w:rPr>
          <w:rFonts w:ascii="Arial" w:cs="Arial" w:eastAsia="Arial" w:hAnsi="Arial"/>
          <w:sz w:val="24"/>
          <w:szCs w:val="24"/>
        </w:rPr>
        <w:t xml:space="preserve">В соответствии с законодательством Кыргызской Республики средства пенсионных накоплений были размещены в государственные ценные бумаги по результатам аукционов, проводимых Национальным банком Кыргызской Республики, на сумму 1149835,8 тыс. сомов. Также, были приобретены облигации мэрии г. Бишкек на сумму 110000 тыс. сомов доходностью 12,0 % годовых, с ежемесячной выплатой процентного дохода.</w:t>
      </w:r>
    </w:p>
    <w:p>
      <w:pPr>
        <w:spacing w:after="120"/>
        <w:jc w:val="both"/>
      </w:pPr>
      <w:r>
        <w:rPr>
          <w:rFonts w:ascii="Arial" w:cs="Arial" w:eastAsia="Arial" w:hAnsi="Arial"/>
          <w:sz w:val="24"/>
          <w:szCs w:val="24"/>
        </w:rPr>
        <w:t xml:space="preserve">По результатам депозитных аукционов, проводимых Социальным фондом, в коммерческих банках размещены средства пенсионных накоплений на сумму 1368866,7 тыс. сомов.</w:t>
      </w:r>
    </w:p>
    <w:p>
      <w:pPr>
        <w:spacing w:after="120"/>
        <w:jc w:val="both"/>
      </w:pPr>
      <w:r>
        <w:rPr>
          <w:rFonts w:ascii="Arial" w:cs="Arial" w:eastAsia="Arial" w:hAnsi="Arial"/>
          <w:sz w:val="24"/>
          <w:szCs w:val="24"/>
        </w:rPr>
        <w:t xml:space="preserve">Всего за 2013 год из общих средств Государственного накопительного пенсионного фонда инвестированы 2628702,5 тыс. сомов.</w:t>
      </w:r>
    </w:p>
    <w:p>
      <w:pPr>
        <w:spacing w:after="120"/>
        <w:jc w:val="both"/>
      </w:pPr>
      <w:r>
        <w:rPr>
          <w:rFonts w:ascii="Arial" w:cs="Arial" w:eastAsia="Arial" w:hAnsi="Arial"/>
          <w:sz w:val="24"/>
          <w:szCs w:val="24"/>
        </w:rPr>
        <w:t xml:space="preserve">В 2013 году доходы по инвестированию средств Государственного накопительного пенсионного фонда, с учетом  размещенных средств за предыдущие годы, составили 528349,4 тыс. сомов, что на 64299,0 тыс. сомов выше предусмотренных бюджетом.</w:t>
      </w:r>
    </w:p>
    <w:p>
      <w:pPr>
        <w:spacing w:after="120"/>
        <w:jc w:val="both"/>
      </w:pPr>
      <w:r>
        <w:rPr>
          <w:rFonts w:ascii="Arial" w:cs="Arial" w:eastAsia="Arial" w:hAnsi="Arial"/>
          <w:sz w:val="24"/>
          <w:szCs w:val="24"/>
        </w:rPr>
        <w:t xml:space="preserve">Также, в 2013 году в целях расширения страховой базы проводилась активная работа по постановке на персонифицированный учет всех трудоспособных граждан, присвоению им идентификационных номеров и открытию личных страховых счетов. Количество граждан, состоящих на учете в системе персонифицированного учета на 1 января 2014 года, составило 4942,9 тыс. человек.</w:t>
      </w:r>
    </w:p>
    <w:p>
      <w:pPr>
        <w:spacing w:after="120"/>
        <w:jc w:val="both"/>
      </w:pPr>
      <w:r>
        <w:rPr>
          <w:rFonts w:ascii="Arial" w:cs="Arial" w:eastAsia="Arial" w:hAnsi="Arial"/>
          <w:sz w:val="24"/>
          <w:szCs w:val="24"/>
        </w:rPr>
        <w:t xml:space="preserve">В 2013 году обработаны в системе персонифицированного учета заявления на социальную защиту и выданы удостоверения социальной защиты 245,6 тыс. граждан. Из них  вновь зарегистрированных в системе персонифицированного учета граждан 69,1 тыс. человек, в том числе 26,0 тыс. новорожденных граждан Кыргызской Республики.</w:t>
      </w:r>
    </w:p>
    <w:p>
      <w:pPr>
        <w:spacing w:after="120"/>
        <w:jc w:val="both"/>
      </w:pPr>
      <w:r>
        <w:rPr>
          <w:rFonts w:ascii="Arial" w:cs="Arial" w:eastAsia="Arial" w:hAnsi="Arial"/>
          <w:sz w:val="24"/>
          <w:szCs w:val="24"/>
        </w:rPr>
        <w:t xml:space="preserve">Кроме того, всего зарегистрировано в системе персонифицированного учета 96, 9 тыс. трудовых мигрантов. В 2013 году зарегистрировано 6060 граждан Кыргызской Республики, временно проживающих в Российской Федерации, в Республике Казахстан и других странах мира.</w:t>
      </w:r>
    </w:p>
    <w:p>
      <w:pPr>
        <w:spacing w:after="120"/>
        <w:jc w:val="both"/>
      </w:pPr>
      <w:r>
        <w:rPr>
          <w:rFonts w:ascii="Arial" w:cs="Arial" w:eastAsia="Arial" w:hAnsi="Arial"/>
          <w:sz w:val="24"/>
          <w:szCs w:val="24"/>
        </w:rPr>
        <w:t xml:space="preserve">Бюджет Социального фонда на 2013 год был утвержден с профицитом в сумме 317873,1 тыс. сомов, по итогам исполнения бюджета за 2013 год профицит бюджета составил 627992,6 тыс. сомов.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w:t>
      </w:r>
    </w:p>
    <w:p>
      <w:pPr>
        <w:spacing w:after="120"/>
        <w:jc w:val="both"/>
      </w:pPr>
      <w:r>
        <w:rPr>
          <w:rFonts w:ascii="Arial" w:cs="Arial" w:eastAsia="Arial" w:hAnsi="Arial"/>
          <w:sz w:val="24"/>
          <w:szCs w:val="24"/>
        </w:rPr>
        <w:t xml:space="preserve">Социального фонда Кыргызской Республики за 2013 год  (тыс.сом.)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0"/>
        <w:gridCol w:w="1170"/>
        <w:gridCol w:w="2092"/>
        <w:gridCol w:w="2515"/>
      </w:tblGrid>
      <w:tr>
        <w:tc>
          <w:tcPr>
            <w:tcW w:type="dxa" w:w="4400"/>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позиции</w:t>
            </w:r>
          </w:p>
        </w:tc>
        <w:tc>
          <w:tcPr>
            <w:tcW w:type="dxa" w:w="209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Бюджет               на  2013 год  </w:t>
            </w:r>
          </w:p>
        </w:tc>
        <w:tc>
          <w:tcPr>
            <w:tcW w:type="dxa" w:w="251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Исполнение бюджета за 2013 год</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ДОХОДОВ</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34 806 865,3</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34 650 507,1</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 к ВВП</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Пенсионный фонд с учетом остатка на начало года</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32 094 541,1</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32 007 611,2</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 Фонд обязательного медицинского страхования</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1 494 680,0</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1 490 150,5</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 Фонд оздоровления трудящихся</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181 830,0</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189 119,5</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IV. Государственный накопительный пенсионный фонд</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1 035 814,2</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963 625,9</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Страховые взносы, всего</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20 602 563,6</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20 449 124,7</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Пенсионный фонд</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17 890 239,4</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17 806 228,8</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1 494 680,0</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1 490 150,5</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Фонд оздоровления трудящихся</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181 830,0</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189 119,5</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Государственный накопительный пенсионный фонд</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1 035 814,2</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963 625,9</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Прочие доходы (дивиденды и др.)</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186 603,3</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183 684,0</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Поступления из республиканского бюджета</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13 049 306,2</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13 049 306,2</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РАСХОДОВ</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34 488 992,2</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34 022 514,5</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 к ВВП</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Пенсионный фонд</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31 776 668,0</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31 494 469,5</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 Фонд обязательного медицинского страхования</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1 494 680,0</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1 389 978,6</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 Фонд оздоровления трудящихся</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181 830,0</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174 440,5</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IV. Государственный накопительный пенсионный фонд</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1 035 814,2</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963 625,9</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дефицит (-), профицит (+)  (1-14)</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317 873,1</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627 992,6</w:t>
            </w:r>
          </w:p>
        </w:tc>
      </w:tr>
      <w:tr>
        <w:tc>
          <w:tcPr>
            <w:tcW w:type="dxa" w:w="440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Государственного накопительного пенсионного фонда на конец года</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4 299 764,8</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4 640 337,0</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351 140 800,0</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350 028 400,0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Пенсионного фонда в 2013 году</w:t>
      </w:r>
    </w:p>
    <w:p>
      <w:pPr>
        <w:spacing w:after="120"/>
        <w:jc w:val="both"/>
      </w:pPr>
      <w:r>
        <w:rPr>
          <w:rFonts w:ascii="Arial" w:cs="Arial" w:eastAsia="Arial" w:hAnsi="Arial"/>
          <w:sz w:val="24"/>
          <w:szCs w:val="24"/>
        </w:rPr>
        <w:t xml:space="preserve">(тыс.сом.)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1"/>
        <w:gridCol w:w="885"/>
        <w:gridCol w:w="2207"/>
        <w:gridCol w:w="2355"/>
      </w:tblGrid>
      <w:tr>
        <w:tc>
          <w:tcPr>
            <w:tcW w:type="dxa" w:w="4731"/>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пози-ции</w:t>
            </w:r>
          </w:p>
        </w:tc>
        <w:tc>
          <w:tcPr>
            <w:tcW w:type="dxa" w:w="220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  на  2013 год</w:t>
            </w:r>
          </w:p>
        </w:tc>
        <w:tc>
          <w:tcPr>
            <w:tcW w:type="dxa" w:w="23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Исполнение бюджета за 2013 год</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ДОХОДОВ</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32 094 541,1</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32 007 611,2</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 к ВВП</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года</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968 392,2</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968 392,2</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Страховые взносы, всего</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17 890 239,4</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17 806 228,8</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промышленных и других предприятий и организаций</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9 897 135,1</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9 425 038,8</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бюджетных организаций</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6 485 561,4</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6 651 041,6</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организованного сектора сельского хозяйства</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29 895,1</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26 600,0</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фермерских, крестьянских хозяйств</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166 950,0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127 755,3</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занятых индивидуальной трудовой деятельностью</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327 443,0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404 655,2</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организаций  по льготным тарифам</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8 054,8</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7 471,7</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поступление задолженности по страховым взносам прошлых лет</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975 200,0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1 163 666,2</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 Прочие доходы (дивиденды и др.)</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186 603,3</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183 684,0</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дивиденды по акциям предприятий и доходы от их реализации</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110 928,7</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86 126,3</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33 000,0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42 194,5</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проценты, начисленные на остатки денежных средств на счетах</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29 500,0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37 458,0</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проценты за предоставление отсрочки по уплате страховых взносов</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1 352,7</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1 286,7</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от размещения временно свободных денежных средств  в ГЦБ, ноты НБКР,  на краткосрочные депозиты</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5 821,9</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5 821,9</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капитализируемые суммы для выплаты пенсий</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1 645,9</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средства, взыскиваемые с работодателей и граждан в результате предъявления регрессных требований</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3 000,0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6 230,4</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иные поступления</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2 920,2</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 Поступления из республиканского бюджета</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13 049 306,2</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13 049 306,2</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базовая часть пенсии</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6 819 096,6</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6 819 096,6</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компенсация на электроэнергию, с учетом доставки</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1 747 717,7</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1 747 717,7</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пенсии  военнослужащих</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1 184 026,2</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1 184 026,2</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единовременное пособие по страховому случаю военнослужащих</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15 000,0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15 000,0</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пенсии и надбавки к пенсиям</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3 283 465,7</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3 283 465,7</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РАСХОДОВ</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31 776 668,0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31 494 469,5</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 к ВВП</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пенсии</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27 500 138,6</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27 298 333,4</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компенсация на электроэнергию</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1 728 702,0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1 733 636,3</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пенсии  военнослужащих</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1 184 026,2</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1 183 260,6</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единовременное пособие по страховому случаю военнослужащих</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15 000,0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11 196,0</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пособие на погребение</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322 500,0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302 220,0</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расходы по назначению и доставке пенсий и пособий</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316 394,0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304 427,5</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расходы на обслуживание счетов Социального фонда</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27 654,7</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25 957,6</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расходы по персонифицированному учету</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10 600,0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7 554,7</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административно-управленческие расходы Социального фонда</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587 002,5</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577 390,3</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резервный фонд</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64 300,0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30 451,2</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фонд развития</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12 500,0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12 503,1</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оплата членских взносов</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5 100,0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4 950,5</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иные расходы</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2 750,0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2 588,3</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дефицит (-), профицит (+)</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317 873,1</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513 141,7</w:t>
            </w:r>
          </w:p>
        </w:tc>
      </w:tr>
      <w:tr>
        <w:tc>
          <w:tcPr>
            <w:tcW w:type="dxa" w:w="47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ВВП</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351 140 800,0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350 028 400,0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Фонда обязательного медицинского страхования в 2013 году</w:t>
      </w:r>
    </w:p>
    <w:p>
      <w:pPr>
        <w:spacing w:after="120"/>
        <w:jc w:val="both"/>
      </w:pPr>
      <w:r>
        <w:rPr>
          <w:rFonts w:ascii="Arial" w:cs="Arial" w:eastAsia="Arial" w:hAnsi="Arial"/>
          <w:sz w:val="24"/>
          <w:szCs w:val="24"/>
        </w:rPr>
        <w:t xml:space="preserve">(тыс.сом.)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5"/>
        <w:gridCol w:w="1081"/>
        <w:gridCol w:w="2286"/>
        <w:gridCol w:w="2306"/>
      </w:tblGrid>
      <w:tr>
        <w:tc>
          <w:tcPr>
            <w:tcW w:type="dxa" w:w="4505"/>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08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пози-ции</w:t>
            </w:r>
          </w:p>
        </w:tc>
        <w:tc>
          <w:tcPr>
            <w:tcW w:type="dxa" w:w="22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  на  2013 год</w:t>
            </w:r>
          </w:p>
        </w:tc>
        <w:tc>
          <w:tcPr>
            <w:tcW w:type="dxa" w:w="230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Исполнение бюджета за 2013 год</w:t>
            </w:r>
          </w:p>
        </w:tc>
      </w:tr>
      <w:tr>
        <w:tc>
          <w:tcPr>
            <w:tcW w:type="dxa" w:w="450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w:t>
            </w:r>
          </w:p>
        </w:tc>
        <w:tc>
          <w:tcPr>
            <w:tcW w:type="dxa" w:w="108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1 494 680,0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1 490 150,5</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3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промышленных и других предприятий и организаций</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821 780,0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783 275,6</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бюджетных организаций</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534 470,0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575 403,3</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организованного сектора сельского хозяйства</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3 100,0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2 448,3</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фермерских, крестьянских хозяйств</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13 000,0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12 652,2</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занятых индивидуальной трудовой деятельностью</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40 680,0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28 932,6</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организаций  по льготным тарифам</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поступление задолженности по страховым взносам прошлых лет</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81 650,0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87 438,5</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расходов</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1 494 680,0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1 389 978,6</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3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финансирование медицинских услуг</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1 397 680,0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1 292 978,6</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административные расходы</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90 500,0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90 500,0</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расходы на информационное обеспечение</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6 500,0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6 500,0</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фонд поддержки здравоохранения</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средств</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100 171,9</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Фонда оздоровления трудящихся в 2013 году</w:t>
      </w:r>
    </w:p>
    <w:p>
      <w:pPr>
        <w:spacing w:after="120"/>
        <w:jc w:val="both"/>
      </w:pPr>
      <w:r>
        <w:rPr>
          <w:rFonts w:ascii="Arial" w:cs="Arial" w:eastAsia="Arial" w:hAnsi="Arial"/>
          <w:sz w:val="24"/>
          <w:szCs w:val="24"/>
        </w:rPr>
        <w:t xml:space="preserve">(тыс.сом.)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1"/>
        <w:gridCol w:w="1085"/>
        <w:gridCol w:w="2278"/>
        <w:gridCol w:w="2314"/>
      </w:tblGrid>
      <w:tr>
        <w:tc>
          <w:tcPr>
            <w:tcW w:type="dxa" w:w="4501"/>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085"/>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пози-ции</w:t>
            </w:r>
          </w:p>
        </w:tc>
        <w:tc>
          <w:tcPr>
            <w:tcW w:type="dxa" w:w="227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  на  2013 год</w:t>
            </w:r>
          </w:p>
        </w:tc>
        <w:tc>
          <w:tcPr>
            <w:tcW w:type="dxa" w:w="23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Исполнение бюджета за 2013 год</w:t>
            </w:r>
          </w:p>
        </w:tc>
      </w:tr>
      <w:tr>
        <w:tc>
          <w:tcPr>
            <w:tcW w:type="dxa" w:w="450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w:t>
            </w:r>
          </w:p>
        </w:tc>
        <w:tc>
          <w:tcPr>
            <w:tcW w:type="dxa" w:w="108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181 830,0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189 119,5</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промышленных и других предприятий и организаций</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102 720,0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105 202,8</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бюджетных организаций</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66 740,0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70 805,6</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организованного сектора сельского хозяйства</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259,1</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фермерских, крестьянских хозяйств</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1 550,0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1 247,0</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занятых индивидуальной трудовой деятельностью</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150,5</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организаций  по льготным тарифам</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55,6</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поступление задолженности по страховым взносам прошлых лет</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10 350,0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11 398,9</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расходов</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181 830,0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174 440,5</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санаторно-курортное лечение и отдых</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117 041,6</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109 424,5</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оздоровление в санаториях-профилакториях</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9 353,5</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10 853,0</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оздоровление в детских оздоровительных центрах</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49 980,0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49 980,0</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организационно-административные расходы</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5 454,9</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4 183,0</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средств</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14 679,0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Государственного накопительного пенсионного фонда в 2013 году</w:t>
      </w:r>
    </w:p>
    <w:p>
      <w:pPr>
        <w:spacing w:after="120"/>
        <w:jc w:val="both"/>
      </w:pPr>
      <w:r>
        <w:rPr>
          <w:rFonts w:ascii="Arial" w:cs="Arial" w:eastAsia="Arial" w:hAnsi="Arial"/>
          <w:sz w:val="24"/>
          <w:szCs w:val="24"/>
        </w:rPr>
        <w:t xml:space="preserve">(тыс.сом.)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0"/>
        <w:gridCol w:w="1262"/>
        <w:gridCol w:w="1824"/>
        <w:gridCol w:w="2272"/>
        <w:gridCol w:w="1"/>
      </w:tblGrid>
      <w:tr>
        <w:tc>
          <w:tcPr>
            <w:tcW w:type="dxa" w:w="4820"/>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позиции</w:t>
            </w:r>
          </w:p>
        </w:tc>
        <w:tc>
          <w:tcPr>
            <w:tcW w:type="dxa" w:w="18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  на  2013 год</w:t>
            </w:r>
          </w:p>
        </w:tc>
        <w:tc>
          <w:tcPr>
            <w:tcW w:type="dxa" w:w="2272"/>
            <w:vMerge w:val="restart"/>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Исполнение бюджета за 2013 год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 Средства пенсионных накоплений на начало года</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3 306 253,8</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3 306 253,8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Поступление страховых взносов за текущий год</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1 035 814,2</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963 625,9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промышленных и других предприятий и организаций</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606 228,4</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560 334,1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бюджетных организаций</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336 329,4</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309 150,2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организованного сектора сельского хозяйства</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1 411,3</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1 402,2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фермерских, крестьянских хозяйств</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занятых индивидуальной трудовой деятельностью</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8 787,3</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10 494,6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организаций  по льготным тарифам</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257,8</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поступление задолженности по страховым взносам прошлых лет</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82 800,0</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81 963,6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Средства, направляемые на инвестирование в текущем году</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1 025 456,0</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961 170,2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государственные ценные бумаги</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717 819,2</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672 819,1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облигации кыргызских эмитентов</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акции кыргызских эмитентов</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паи индексных инвестиционных фондов</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ипотечные ценные бумаги</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депозиты в кредитных учреждениях</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307 636,8</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288 351,1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 Доходы от инвестирования за отчетный период</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464 050,5</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528 349,4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 Всего расходов</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506 353,7</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157 892,2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 выплату накопительной части пенсии</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495 995,6</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155 436,5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расходы, связанные с инвестированием и администрированием средств Государственного накопительного</w:t>
            </w:r>
          </w:p>
          <w:p>
            <w:pPr>
              <w:jc w:val="left"/>
            </w:pPr>
            <w:r>
              <w:rPr>
                <w:rFonts w:ascii="Arial" w:cs="Arial" w:eastAsia="Arial" w:hAnsi="Arial"/>
                <w:sz w:val="24"/>
                <w:szCs w:val="24"/>
              </w:rPr>
              <w:t xml:space="preserve">пенсионного фонда</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10 358,1</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2 455,7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Средства пенсионных накоплений на конец года (1+2+4-5)</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4 299 764,8</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4 640 337,0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a1pmuazcnohzxh4iyno7">
      <w:r>
        <w:rPr>
          <w:rFonts w:ascii="Arial" w:cs="Arial" w:eastAsia="Arial" w:hAnsi="Arial"/>
          <w:color w:val="132D3F"/>
          <w:sz w:val="16"/>
          <w:szCs w:val="16"/>
          <w:u w:val="single"/>
        </w:rPr>
        <w:t xml:space="preserve">dalil.kg/document/96806</w:t>
      </w:r>
    </w:hyperlink>
  </w:p>
  <w:p>
    <w:pPr>
      <w:spacing w:after="0" w:before="40"/>
      <w:jc w:val="center"/>
    </w:pPr>
    <w:hyperlink w:history="1" r:id="rIde8wtw63177ga74ff3-uv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zzlmna4xhtj7qyosymw5" Type="http://schemas.openxmlformats.org/officeDocument/2006/relationships/hyperlink" Target="https://dalil.kg/document/158975" TargetMode="External"/><Relationship Id="rIdzc2r3i1_syzrovb5sk1j0" Type="http://schemas.openxmlformats.org/officeDocument/2006/relationships/hyperlink" Target="https://dalil.kg/document/1502" TargetMode="External"/><Relationship Id="rIdpk0gjuk7oisgqh_z9bsxu" Type="http://schemas.openxmlformats.org/officeDocument/2006/relationships/hyperlink" Target="https://dalil.kg/document/96806#&#1088;1" TargetMode="External"/><Relationship Id="rIdek7cg6bqb69plbkq1-qqj" Type="http://schemas.openxmlformats.org/officeDocument/2006/relationships/hyperlink" Target="https://dalil.kg/document/203756" TargetMode="External"/><Relationship Id="rIdzq4u2d7vgyylakqgz8da2" Type="http://schemas.openxmlformats.org/officeDocument/2006/relationships/hyperlink" Target="https://dalil.kg/document/96806#&#1088;1" TargetMode="External"/><Relationship Id="rIdabtr33wwtyxj6xrifwbrs" Type="http://schemas.openxmlformats.org/officeDocument/2006/relationships/hyperlink" Target="https://dalil.kg/document/96806#&#1088;3" TargetMode="External"/><Relationship Id="rId0npv7cjwingatxhcxtr5x" Type="http://schemas.openxmlformats.org/officeDocument/2006/relationships/hyperlink" Target="https://dalil.kg/document/96806#&#1088;5" TargetMode="External"/><Relationship Id="rIdg8vm9ju7ng8a_f59y9vq_" Type="http://schemas.openxmlformats.org/officeDocument/2006/relationships/hyperlink" Target="https://dalil.kg/document/94217" TargetMode="External"/><Relationship Id="rId_cl0zw6fsausn6ak0hujt" Type="http://schemas.openxmlformats.org/officeDocument/2006/relationships/hyperlink" Target="https://dalil.kg/document/205063" TargetMode="External"/><Relationship Id="rIdmht04ftp-daqvjp1mhjh9" Type="http://schemas.openxmlformats.org/officeDocument/2006/relationships/hyperlink" Target="https://dalil.kg/document/94684" TargetMode="External"/><Relationship Id="rIdezxh732dkcs9z6cs7t_p8" Type="http://schemas.openxmlformats.org/officeDocument/2006/relationships/hyperlink" Target="https://dalil.kg/document/94685" TargetMode="External"/><Relationship Id="rIdnqcfkeripvp4dvu_j40tl" Type="http://schemas.openxmlformats.org/officeDocument/2006/relationships/hyperlink" Target="https://dalil.kg/document/557" TargetMode="External"/><Relationship Id="rIddl08pxp8jztno1dgoad2w" Type="http://schemas.openxmlformats.org/officeDocument/2006/relationships/hyperlink" Target="https://dalil.kg/document/20332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a1pmuazcnohzxh4iyno7" Type="http://schemas.openxmlformats.org/officeDocument/2006/relationships/hyperlink" Target="https://dalil.kg/document/96806" TargetMode="External"/><Relationship Id="rIde8wtw63177ga74ff3-uv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2026-09-23T19:38:11.502Z</dcterms:created>
  <dcterms:modified xsi:type="dcterms:W3CDTF">2026-09-23T19:38:11.502Z</dcterms:modified>
</cp:coreProperties>
</file>

<file path=docProps/custom.xml><?xml version="1.0" encoding="utf-8"?>
<Properties xmlns="http://schemas.openxmlformats.org/officeDocument/2006/custom-properties" xmlns:vt="http://schemas.openxmlformats.org/officeDocument/2006/docPropsVTypes"/>
</file>