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4
 к </w:t>
      </w:r>
      <w:hyperlink w:history="1" r:id="rIdgwrv8sic4dnqwpgobrvf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сентября 2014 года № 560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ПОЛОЖЕНИЕ
 о защите и развитии конкуренции в торговой деятельности на территории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42ggoy0lljynrp8mplybe">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Положение о защите и развитии конкуренции в торговой деятельности на территории Кыргызской Республики (далее - Положение) определяет основы государственного регулирования торговой деятельности в Кыргызской Республике (далее - торговая деятельность).</w:t>
      </w:r>
    </w:p>
    <w:p>
      <w:pPr>
        <w:spacing w:after="120"/>
        <w:ind w:firstLine="567"/>
        <w:jc w:val="both"/>
      </w:pPr>
      <w:r>
        <w:rPr>
          <w:rFonts w:ascii="Arial" w:cs="Arial" w:eastAsia="Arial" w:hAnsi="Arial"/>
          <w:sz w:val="24"/>
          <w:szCs w:val="24"/>
        </w:rPr>
        <w:t xml:space="preserve">2. Целями настоящего Положения являются:</w:t>
      </w:r>
    </w:p>
    <w:p>
      <w:pPr>
        <w:spacing w:after="120"/>
        <w:ind w:firstLine="567"/>
        <w:jc w:val="both"/>
      </w:pPr>
      <w:r>
        <w:rPr>
          <w:rFonts w:ascii="Arial" w:cs="Arial" w:eastAsia="Arial" w:hAnsi="Arial"/>
          <w:sz w:val="24"/>
          <w:szCs w:val="24"/>
        </w:rPr>
        <w:t xml:space="preserve">- обеспечение единства и прозрачности экономического пространства на территории Кыргызской Республики путем установления требований к организации и осуществлению торговой деятельности;</w:t>
      </w:r>
    </w:p>
    <w:p>
      <w:pPr>
        <w:spacing w:after="120"/>
        <w:ind w:firstLine="567"/>
        <w:jc w:val="both"/>
      </w:pPr>
      <w:r>
        <w:rPr>
          <w:rFonts w:ascii="Arial" w:cs="Arial" w:eastAsia="Arial" w:hAnsi="Arial"/>
          <w:sz w:val="24"/>
          <w:szCs w:val="24"/>
        </w:rPr>
        <w:t xml:space="preserve">-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отечественных производителей товаров;</w:t>
      </w:r>
    </w:p>
    <w:p>
      <w:pPr>
        <w:spacing w:after="120"/>
        <w:ind w:firstLine="567"/>
        <w:jc w:val="both"/>
      </w:pPr>
      <w:r>
        <w:rPr>
          <w:rFonts w:ascii="Arial" w:cs="Arial" w:eastAsia="Arial" w:hAnsi="Arial"/>
          <w:sz w:val="24"/>
          <w:szCs w:val="24"/>
        </w:rPr>
        <w:t xml:space="preserve">- обеспечение соблюдения прав и законных интересов физических и юридических лиц, осуществляющих торговую деятельность по поставке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а также обеспечение при этом соблюдения прав и законных интересов потребителей.</w:t>
      </w:r>
    </w:p>
    <w:p>
      <w:pPr>
        <w:spacing w:after="120"/>
        <w:ind w:firstLine="567"/>
        <w:jc w:val="both"/>
      </w:pPr>
      <w:r>
        <w:rPr>
          <w:rFonts w:ascii="Arial" w:cs="Arial" w:eastAsia="Arial" w:hAnsi="Arial"/>
          <w:sz w:val="24"/>
          <w:szCs w:val="24"/>
        </w:rPr>
        <w:t xml:space="preserve">3. Нормы настоящего Положения не применяются к отношениям, связанным с организацией и осуществлением:</w:t>
      </w:r>
    </w:p>
    <w:p>
      <w:pPr>
        <w:spacing w:after="120"/>
        <w:ind w:firstLine="567"/>
        <w:jc w:val="both"/>
      </w:pPr>
      <w:r>
        <w:rPr>
          <w:rFonts w:ascii="Arial" w:cs="Arial" w:eastAsia="Arial" w:hAnsi="Arial"/>
          <w:sz w:val="24"/>
          <w:szCs w:val="24"/>
        </w:rPr>
        <w:t xml:space="preserve">- внешнеторговой деятельности;</w:t>
      </w:r>
    </w:p>
    <w:p>
      <w:pPr>
        <w:spacing w:after="120"/>
        <w:ind w:firstLine="567"/>
        <w:jc w:val="both"/>
      </w:pPr>
      <w:r>
        <w:rPr>
          <w:rFonts w:ascii="Arial" w:cs="Arial" w:eastAsia="Arial" w:hAnsi="Arial"/>
          <w:sz w:val="24"/>
          <w:szCs w:val="24"/>
        </w:rPr>
        <w:t xml:space="preserve">- торговли на товарных биржах;</w:t>
      </w:r>
    </w:p>
    <w:p>
      <w:pPr>
        <w:spacing w:after="120"/>
        <w:ind w:firstLine="567"/>
        <w:jc w:val="both"/>
      </w:pPr>
      <w:r>
        <w:rPr>
          <w:rFonts w:ascii="Arial" w:cs="Arial" w:eastAsia="Arial" w:hAnsi="Arial"/>
          <w:sz w:val="24"/>
          <w:szCs w:val="24"/>
        </w:rPr>
        <w:t xml:space="preserve">-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Основные понятия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В настоящем Положения используются следующие основные понятия:</w:t>
      </w:r>
    </w:p>
    <w:p>
      <w:pPr>
        <w:spacing w:after="120"/>
        <w:ind w:firstLine="567"/>
        <w:jc w:val="both"/>
      </w:pPr>
      <w:r>
        <w:rPr>
          <w:rFonts w:ascii="Arial" w:cs="Arial" w:eastAsia="Arial" w:hAnsi="Arial"/>
          <w:sz w:val="24"/>
          <w:szCs w:val="24"/>
        </w:rPr>
        <w:t xml:space="preserve">оптовая торговля - вид предпринимательской деятельности, связанный с продажей и/или приобретением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120"/>
        <w:ind w:firstLine="567"/>
        <w:jc w:val="both"/>
      </w:pPr>
      <w:r>
        <w:rPr>
          <w:rFonts w:ascii="Arial" w:cs="Arial" w:eastAsia="Arial" w:hAnsi="Arial"/>
          <w:sz w:val="24"/>
          <w:szCs w:val="24"/>
        </w:rPr>
        <w:t xml:space="preserve">розничная торговля - вид предпринимательской деятельности, связанный с продажей и приобретением товаров для использования их в личных, семейных, домашних и иных целях, не связанных с осуществлением предпринимательской деятельности;</w:t>
      </w:r>
    </w:p>
    <w:p>
      <w:pPr>
        <w:spacing w:after="120"/>
        <w:ind w:firstLine="567"/>
        <w:jc w:val="both"/>
      </w:pPr>
      <w:r>
        <w:rPr>
          <w:rFonts w:ascii="Arial" w:cs="Arial" w:eastAsia="Arial" w:hAnsi="Arial"/>
          <w:sz w:val="24"/>
          <w:szCs w:val="24"/>
        </w:rPr>
        <w:t xml:space="preserve">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pPr>
        <w:spacing w:after="120"/>
        <w:ind w:firstLine="567"/>
        <w:jc w:val="both"/>
      </w:pPr>
      <w:r>
        <w:rPr>
          <w:rFonts w:ascii="Arial" w:cs="Arial" w:eastAsia="Arial" w:hAnsi="Arial"/>
          <w:sz w:val="24"/>
          <w:szCs w:val="24"/>
        </w:rPr>
        <w:t xml:space="preserve">торговая сеть - совокупность двух и более торговых объектов, которые находятся под общим управлением,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pPr>
        <w:spacing w:after="120"/>
        <w:ind w:firstLine="567"/>
        <w:jc w:val="both"/>
      </w:pPr>
      <w:r>
        <w:rPr>
          <w:rFonts w:ascii="Arial" w:cs="Arial" w:eastAsia="Arial" w:hAnsi="Arial"/>
          <w:sz w:val="24"/>
          <w:szCs w:val="24"/>
        </w:rPr>
        <w:t xml:space="preserve">продовольственные товары - продукты в натуральном или переработанном виде, находящиеся в легальном обороте и употребляемые человеком в пищу (в том числе продукты детского питания, продукты диетического питания, биологически-активные добавки),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Требования к организации и осуществлению торговой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Государственное регулирование торговой деятельности осуществляется посредством:</w:t>
      </w:r>
    </w:p>
    <w:p>
      <w:pPr>
        <w:spacing w:after="120"/>
        <w:ind w:firstLine="567"/>
        <w:jc w:val="both"/>
      </w:pPr>
      <w:r>
        <w:rPr>
          <w:rFonts w:ascii="Arial" w:cs="Arial" w:eastAsia="Arial" w:hAnsi="Arial"/>
          <w:sz w:val="24"/>
          <w:szCs w:val="24"/>
        </w:rPr>
        <w:t xml:space="preserve">- установления требований к ее организации и осуществлению;</w:t>
      </w:r>
    </w:p>
    <w:p>
      <w:pPr>
        <w:spacing w:after="120"/>
        <w:ind w:firstLine="567"/>
        <w:jc w:val="both"/>
      </w:pPr>
      <w:r>
        <w:rPr>
          <w:rFonts w:ascii="Arial" w:cs="Arial" w:eastAsia="Arial" w:hAnsi="Arial"/>
          <w:sz w:val="24"/>
          <w:szCs w:val="24"/>
        </w:rPr>
        <w:t xml:space="preserve">- антимонопольного регулирования;</w:t>
      </w:r>
    </w:p>
    <w:p>
      <w:pPr>
        <w:spacing w:after="120"/>
        <w:ind w:firstLine="567"/>
        <w:jc w:val="both"/>
      </w:pPr>
      <w:r>
        <w:rPr>
          <w:rFonts w:ascii="Arial" w:cs="Arial" w:eastAsia="Arial" w:hAnsi="Arial"/>
          <w:sz w:val="24"/>
          <w:szCs w:val="24"/>
        </w:rPr>
        <w:t xml:space="preserve">- информационного обеспечения;</w:t>
      </w:r>
    </w:p>
    <w:p>
      <w:pPr>
        <w:spacing w:after="120"/>
        <w:ind w:firstLine="567"/>
        <w:jc w:val="both"/>
      </w:pPr>
      <w:r>
        <w:rPr>
          <w:rFonts w:ascii="Arial" w:cs="Arial" w:eastAsia="Arial" w:hAnsi="Arial"/>
          <w:sz w:val="24"/>
          <w:szCs w:val="24"/>
        </w:rPr>
        <w:t xml:space="preserve">- государственного контроля (надзора).</w:t>
      </w:r>
    </w:p>
    <w:p>
      <w:pPr>
        <w:spacing w:after="120"/>
        <w:ind w:firstLine="567"/>
        <w:jc w:val="both"/>
      </w:pPr>
      <w:r>
        <w:rPr>
          <w:rFonts w:ascii="Arial" w:cs="Arial" w:eastAsia="Arial" w:hAnsi="Arial"/>
          <w:sz w:val="24"/>
          <w:szCs w:val="24"/>
        </w:rPr>
        <w:t xml:space="preserve">6. Торговая деятельность осуществляется субъектами предпринимательства согласно требованиям, установленным настоящим Положением, и зарегистрированными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Приемка товаров по количеству и качеству на торговых объектах должна осуществляться в соответствии с нормативными правовыми актами и документами, подтверждающими безопасность и качество продукции.</w:t>
      </w:r>
    </w:p>
    <w:p>
      <w:pPr>
        <w:spacing w:after="120"/>
        <w:ind w:firstLine="567"/>
        <w:jc w:val="both"/>
      </w:pPr>
      <w:r>
        <w:rPr>
          <w:rFonts w:ascii="Arial" w:cs="Arial" w:eastAsia="Arial" w:hAnsi="Arial"/>
          <w:sz w:val="24"/>
          <w:szCs w:val="24"/>
        </w:rPr>
        <w:t xml:space="preserve">7. В случае если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цены на такие товары, торговые надбавки (наценки) к ценам на них регулируются в установленном порядке Кабинетом Министров Кыргызской Республики в соответствии с законами Кыргызской Республики "</w:t>
      </w:r>
      <w:hyperlink w:history="1" r:id="rIdx35zhahk7qn0adtcckxla">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imz4hzqvn19pe_h9khr29">
        <w:r>
          <w:rPr>
            <w:rFonts w:ascii="Arial" w:cs="Arial" w:eastAsia="Arial" w:hAnsi="Arial"/>
            <w:color w:val="1D4ED8"/>
            <w:sz w:val="24"/>
            <w:szCs w:val="24"/>
            <w:u w:val="single"/>
          </w:rPr>
          <w:t xml:space="preserve">О ценообразовании</w:t>
        </w:r>
      </w:hyperlink>
      <w:r>
        <w:rPr>
          <w:rFonts w:ascii="Arial" w:cs="Arial" w:eastAsia="Arial" w:hAnsi="Arial"/>
          <w:sz w:val="24"/>
          <w:szCs w:val="24"/>
        </w:rPr>
        <w:t xml:space="preserve">" и "</w:t>
      </w:r>
      <w:hyperlink w:history="1" r:id="rIdikt9bym-xrqyjgzknqrb7">
        <w:r>
          <w:rPr>
            <w:rFonts w:ascii="Arial" w:cs="Arial" w:eastAsia="Arial" w:hAnsi="Arial"/>
            <w:color w:val="1D4ED8"/>
            <w:sz w:val="24"/>
            <w:szCs w:val="24"/>
            <w:u w:val="single"/>
          </w:rPr>
          <w:t xml:space="preserve">О продовольственной безопасности Кыргызской Республики</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wqj8wi9v-i4gkrkdidum">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Права и обязанности субъектов предпринимательства, осуществляющих торговую деятельность посредством организации торговой сети, в связи с заключением и исполнением договора поставки продовольственных товаров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Субъект предпринимательства, осуществляющий торговую деятельность посредством организации торговой сети, обязан обеспечивать субъекту предпринимательства, осуществляющему поставки продовольственных товаров, доступ к информации об условиях отбора контрагента для заключения договора поставки продовольственных товаров и существенных условиях такого договора путем размещения соответствующей информации на своем сайте в информационно-телекоммуникационной сети Интернет или путем предоставления запрашиваемой информации, безвозмездно, в течение 7 календарных дней со дня получения соответствующего запроса. Аналогичные требования предъявляются к субъекту предпринимательства, осуществляющему поставки продовольственных товаров.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ipd46dacfzhpxua_g6pk">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Цена договора поставки продовольственных товаров, заключаемого между субъектом предпринимательства, осуществляющим поставки продовольственных товаров, и субъектом предпринимательства,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требований предусмотренных пунктами 10 и 11 настоящего Положения.</w:t>
      </w:r>
    </w:p>
    <w:p>
      <w:pPr>
        <w:spacing w:after="120"/>
        <w:ind w:firstLine="567"/>
        <w:jc w:val="both"/>
      </w:pPr>
      <w:r>
        <w:rPr>
          <w:rFonts w:ascii="Arial" w:cs="Arial" w:eastAsia="Arial" w:hAnsi="Arial"/>
          <w:sz w:val="24"/>
          <w:szCs w:val="24"/>
        </w:rPr>
        <w:t xml:space="preserve">10. Соглашением сторон в договорах поставки продовольственных товаров может предусматриваться включение в цену товара вознаграждения субъекту предпринимательства, осуществляющему торговую деятельность, в связи с приобретением им продовольственных товаров у субъекта предпринимательства, осуществляющего поставки продовольственных товаров. Размер указанного вознаграждения подлежит согласованию сторонами этого договора, включению в цену товара и не учитывается при определении цены продовольственных товаров. Размер вознаграждения не может превышать пять процентов цены приобретенных продовольственных товаров.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rsegahgu9lqftehrbsd0">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Не допускается выплата вознаграждения в связи с приобретением субъектом предпринимательства, осуществляющим торговую деятельность, отдельных видов социально значимых продовольственных товаров, указанных в перечне, установленном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cw3dinxka0msxjzonhev">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Включение в цену договора поставки продовольственных товаров иных видов вознаграждения за исполнение субъектом предпринимательства, осуществляющим торговую деятельность, условий этого договора и (или) его изменение не допускаются.</w:t>
      </w:r>
    </w:p>
    <w:p>
      <w:pPr>
        <w:spacing w:after="120"/>
        <w:ind w:firstLine="567"/>
        <w:jc w:val="both"/>
      </w:pPr>
      <w:r>
        <w:rPr>
          <w:rFonts w:ascii="Arial" w:cs="Arial" w:eastAsia="Arial" w:hAnsi="Arial"/>
          <w:sz w:val="24"/>
          <w:szCs w:val="24"/>
        </w:rPr>
        <w:t xml:space="preserve">13. В случае, если между субъектом предпринимательства, осуществляющим торговую деятельность, и субъектом предпринимательства, осуществляющим поставки продовольственных товаров, заключается договор поставки продовольственных товаров, с условием оплаты таких товаров через определенное время после их передачи субъекту предпринимательства, осуществляющему торговую деятельность, срок оплаты таких товаров для установления данным договором определяется по следующим правилам:</w:t>
      </w:r>
    </w:p>
    <w:p>
      <w:pPr>
        <w:spacing w:after="120"/>
        <w:ind w:firstLine="567"/>
        <w:jc w:val="both"/>
      </w:pPr>
      <w:r>
        <w:rPr>
          <w:rFonts w:ascii="Arial" w:cs="Arial" w:eastAsia="Arial" w:hAnsi="Arial"/>
          <w:sz w:val="24"/>
          <w:szCs w:val="24"/>
        </w:rPr>
        <w:t xml:space="preserve">1) продовольственные товары, на которые срок годности установлен менее чем десять дней, подлежат оплате в срок не позднее чем десять рабочих дней со дня приемки таких товаров субъектом предпринимательства, осуществляющим торговую деятельность;</w:t>
      </w:r>
    </w:p>
    <w:p>
      <w:pPr>
        <w:spacing w:after="120"/>
        <w:ind w:firstLine="567"/>
        <w:jc w:val="both"/>
      </w:pPr>
      <w:r>
        <w:rPr>
          <w:rFonts w:ascii="Arial" w:cs="Arial" w:eastAsia="Arial" w:hAnsi="Arial"/>
          <w:sz w:val="24"/>
          <w:szCs w:val="24"/>
        </w:rPr>
        <w:t xml:space="preserve">2) продовольственные товары, на которые срок годности установлен от десяти до тридцати дней включительно, подлежат оплате в срок не позднее, чем тридцать календарных дней со дня приемки таких товаров субъектом предпринимательства, осуществляющим торговую деятельность;</w:t>
      </w:r>
    </w:p>
    <w:p>
      <w:pPr>
        <w:spacing w:after="120"/>
        <w:ind w:firstLine="567"/>
        <w:jc w:val="both"/>
      </w:pPr>
      <w:r>
        <w:rPr>
          <w:rFonts w:ascii="Arial" w:cs="Arial" w:eastAsia="Arial" w:hAnsi="Arial"/>
          <w:sz w:val="24"/>
          <w:szCs w:val="24"/>
        </w:rPr>
        <w:t xml:space="preserve">3) продовольственные товары, на которые срок годности установлен свыше тридцати дней, а также алкогольная продукция, произведенная на территории Кыргызской Республики, подлежат оплате в срок не позднее чем сорок пять календарных дней со дня приемки таких товаров субъектом предпринимательства, осуществляющим торговую деятельность.</w:t>
      </w:r>
    </w:p>
    <w:p>
      <w:pPr>
        <w:spacing w:after="120"/>
        <w:ind w:firstLine="567"/>
        <w:jc w:val="both"/>
      </w:pPr>
      <w:r>
        <w:rPr>
          <w:rFonts w:ascii="Arial" w:cs="Arial" w:eastAsia="Arial" w:hAnsi="Arial"/>
          <w:sz w:val="24"/>
          <w:szCs w:val="24"/>
        </w:rPr>
        <w:t xml:space="preserve">14. Оплата продовольственных товаров в срок, установленный правилами, определенными пунктом 13 настоящего Положения, осуществляется при условии исполнения субъектом предпринимательства, осуществляющим поставки продовольственных товаров, обязанности по передаче документов, относящихся к поставкам таких товаров в соответствии с требованиями нормативных правовых актов Кыргызской Республики и договором поставки продовольственных товаров.</w:t>
      </w:r>
    </w:p>
    <w:p>
      <w:pPr>
        <w:spacing w:after="120"/>
        <w:ind w:firstLine="567"/>
        <w:jc w:val="both"/>
      </w:pPr>
      <w:r>
        <w:rPr>
          <w:rFonts w:ascii="Arial" w:cs="Arial" w:eastAsia="Arial" w:hAnsi="Arial"/>
          <w:sz w:val="24"/>
          <w:szCs w:val="24"/>
        </w:rPr>
        <w:t xml:space="preserve">15. В случае, если субъект предпринимательства, осуществляющий поставки продовольственных товаров, не передает или отказывается передать субъекту предпринимательства, осуществляющему торговую деятельность, документы, которые он должен передать в соответствии с законами, иными нормативными правовыми актами Кыргызской Республики и договором поставки продовольственных товаров, сроки оплаты продовольственных товаров, установленные правилами, определенными пунктом 13 настоящего Положения, увеличиваются на период предоставления субъектом предпринимательства, осуществляющим поставки продовольственных товаров, по запросу субъекта предпринимательства, осуществляющего торговую деятельность, указанных документов.</w:t>
      </w:r>
    </w:p>
    <w:p>
      <w:pPr>
        <w:spacing w:after="120"/>
        <w:ind w:firstLine="567"/>
        <w:jc w:val="both"/>
      </w:pPr>
      <w:r>
        <w:rPr>
          <w:rFonts w:ascii="Arial" w:cs="Arial" w:eastAsia="Arial" w:hAnsi="Arial"/>
          <w:sz w:val="24"/>
          <w:szCs w:val="24"/>
        </w:rPr>
        <w:t xml:space="preserve">16. В договоре поставки продовольственных товаров не допускается установление запрета на перемене лиц в обязательстве по такому договору путем уступки требования, а также ответственности за несоблюдение указанного запрета сторонами такого договора.</w:t>
      </w:r>
    </w:p>
    <w:p>
      <w:pPr>
        <w:spacing w:after="120"/>
        <w:ind w:firstLine="567"/>
        <w:jc w:val="both"/>
      </w:pPr>
      <w:r>
        <w:rPr>
          <w:rFonts w:ascii="Arial" w:cs="Arial" w:eastAsia="Arial" w:hAnsi="Arial"/>
          <w:sz w:val="24"/>
          <w:szCs w:val="24"/>
        </w:rPr>
        <w:t xml:space="preserve">17. Услуги по рекламированию продовольственных товаров, маркетингу и подобные услуги, направленные на продвижение продовольственных товаров, могут оказываться субъектом предпринимательства, осуществляющим торговую деятельность, на основании договоров возмездного оказания соответствующих услуг только на добровольной основе.</w:t>
      </w:r>
    </w:p>
    <w:p>
      <w:pPr>
        <w:spacing w:after="120"/>
        <w:ind w:firstLine="567"/>
        <w:jc w:val="both"/>
      </w:pPr>
      <w:r>
        <w:rPr>
          <w:rFonts w:ascii="Arial" w:cs="Arial" w:eastAsia="Arial" w:hAnsi="Arial"/>
          <w:sz w:val="24"/>
          <w:szCs w:val="24"/>
        </w:rPr>
        <w:t xml:space="preserve">18. Включение в договор поставки продовольственных товаров условий о совершении субъектом предпринимательства, осуществляющим торговую деятельность, в отношении поставленных продовольственных товаров определенных действий, об оказании услуг по рекламированию товаров, маркетингу и подобных услуг, направленных на продвижение продовольственных товаров, а также заключение договора поставки продовольственных товаров путем понуждения к заключению договора возмездного оказания услуг, направленных на продвижение продовольственных товаров, не допускается.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Антимонопольные требования для субъектов предпринимательства, осуществляющих торговую деятельность посредством организации торговой сети, и субъектов предпринимательства, осуществляющих поставки продовольственных товаров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Субъектам предпринимательства, осуществляющим торговую деятельность по продаже продовольственных товаров посредством организации торговой сети, и субъектам предпринимательства, осуществляющим поставки продовольственных товаров в торговые сети, в соответствии с Законом Кыргызской Республики "О конкуренции" запрещается осуществлять свои действия,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w:t>
      </w:r>
    </w:p>
    <w:p>
      <w:pPr>
        <w:spacing w:after="120"/>
        <w:ind w:firstLine="567"/>
        <w:jc w:val="both"/>
      </w:pPr>
      <w:r>
        <w:rPr>
          <w:rFonts w:ascii="Arial" w:cs="Arial" w:eastAsia="Arial" w:hAnsi="Arial"/>
          <w:sz w:val="24"/>
          <w:szCs w:val="24"/>
        </w:rPr>
        <w:t xml:space="preserve">1) создавать дискриминационные условия;</w:t>
      </w:r>
    </w:p>
    <w:p>
      <w:pPr>
        <w:spacing w:after="120"/>
        <w:ind w:firstLine="567"/>
        <w:jc w:val="both"/>
      </w:pPr>
      <w:r>
        <w:rPr>
          <w:rFonts w:ascii="Arial" w:cs="Arial" w:eastAsia="Arial" w:hAnsi="Arial"/>
          <w:sz w:val="24"/>
          <w:szCs w:val="24"/>
        </w:rPr>
        <w:t xml:space="preserve">2) создавать препятствия для доступа на товарный рынок или выхода из товарного рынка других субъектов предпринимательства;</w:t>
      </w:r>
    </w:p>
    <w:p>
      <w:pPr>
        <w:spacing w:after="120"/>
        <w:ind w:firstLine="567"/>
        <w:jc w:val="both"/>
      </w:pPr>
      <w:r>
        <w:rPr>
          <w:rFonts w:ascii="Arial" w:cs="Arial" w:eastAsia="Arial" w:hAnsi="Arial"/>
          <w:sz w:val="24"/>
          <w:szCs w:val="24"/>
        </w:rPr>
        <w:t xml:space="preserve">3) навязывать контрагенту условия, невыгодные для него или не относящиеся к предмету договора, а именно:</w:t>
      </w:r>
    </w:p>
    <w:p>
      <w:pPr>
        <w:spacing w:after="120"/>
        <w:ind w:firstLine="567"/>
        <w:jc w:val="both"/>
      </w:pPr>
      <w:r>
        <w:rPr>
          <w:rFonts w:ascii="Arial" w:cs="Arial" w:eastAsia="Arial" w:hAnsi="Arial"/>
          <w:sz w:val="24"/>
          <w:szCs w:val="24"/>
        </w:rPr>
        <w:t xml:space="preserve">а) условия о запрете на заключение субъектом предпринимательства договоров поставки продовольственных товаров с другими субъектами предпринимательства, осуществляющими аналогичную деятельность, а также с другими субъектами предпринимательства на аналогичных или иных условиях;</w:t>
      </w:r>
    </w:p>
    <w:p>
      <w:pPr>
        <w:spacing w:after="120"/>
        <w:ind w:firstLine="567"/>
        <w:jc w:val="both"/>
      </w:pPr>
      <w:r>
        <w:rPr>
          <w:rFonts w:ascii="Arial" w:cs="Arial" w:eastAsia="Arial" w:hAnsi="Arial"/>
          <w:sz w:val="24"/>
          <w:szCs w:val="24"/>
        </w:rPr>
        <w:t xml:space="preserve">б) условия об ответственности за неисполнение обязательства субъекта предпринимательства о поставках продовольственных товаров на условиях, которые лучше, чем условия для других субъектов предпринимательства, осуществляющих аналогичную деятельность;</w:t>
      </w:r>
    </w:p>
    <w:p>
      <w:pPr>
        <w:spacing w:after="120"/>
        <w:ind w:firstLine="567"/>
        <w:jc w:val="both"/>
      </w:pPr>
      <w:r>
        <w:rPr>
          <w:rFonts w:ascii="Arial" w:cs="Arial" w:eastAsia="Arial" w:hAnsi="Arial"/>
          <w:sz w:val="24"/>
          <w:szCs w:val="24"/>
        </w:rPr>
        <w:t xml:space="preserve">в) условия о предоставлении субъектом предпринимательства контрагенту сведений о заключаемых данным субъектами предпринимательства договорах с другими субъектами предпринимательства, осуществляющими аналогичную деятельность;</w:t>
      </w:r>
    </w:p>
    <w:p>
      <w:pPr>
        <w:spacing w:after="120"/>
        <w:ind w:firstLine="567"/>
        <w:jc w:val="both"/>
      </w:pPr>
      <w:r>
        <w:rPr>
          <w:rFonts w:ascii="Arial" w:cs="Arial" w:eastAsia="Arial" w:hAnsi="Arial"/>
          <w:sz w:val="24"/>
          <w:szCs w:val="24"/>
        </w:rPr>
        <w:t xml:space="preserve">г) условия о внесении субъектом предпринимательства, осуществляющим поставки продовольственных товаров, платы за право поставок (плата за вход и прочие какие-либо платы при заключении договора) таких товаров субъекту предпринимательства, осуществляющему торговую деятельность посредством организации торговой сети, в функционирующие или открываемые торговые объекты;</w:t>
      </w:r>
    </w:p>
    <w:p>
      <w:pPr>
        <w:spacing w:after="120"/>
        <w:ind w:firstLine="567"/>
        <w:jc w:val="both"/>
      </w:pPr>
      <w:r>
        <w:rPr>
          <w:rFonts w:ascii="Arial" w:cs="Arial" w:eastAsia="Arial" w:hAnsi="Arial"/>
          <w:sz w:val="24"/>
          <w:szCs w:val="24"/>
        </w:rPr>
        <w:t xml:space="preserve">д) условия о внесении субъектом предпринимательства платы за изменение ассортимента продовольственных товаров;</w:t>
      </w:r>
    </w:p>
    <w:p>
      <w:pPr>
        <w:spacing w:after="120"/>
        <w:ind w:firstLine="567"/>
        <w:jc w:val="both"/>
      </w:pPr>
      <w:r>
        <w:rPr>
          <w:rFonts w:ascii="Arial" w:cs="Arial" w:eastAsia="Arial" w:hAnsi="Arial"/>
          <w:sz w:val="24"/>
          <w:szCs w:val="24"/>
        </w:rPr>
        <w:t xml:space="preserve">е) условия о снижении субъектом предпринимательства,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субъектами предпринимательства, осуществляющими аналогичную деятельность;</w:t>
      </w:r>
    </w:p>
    <w:p>
      <w:pPr>
        <w:spacing w:after="120"/>
        <w:ind w:firstLine="567"/>
        <w:jc w:val="both"/>
      </w:pPr>
      <w:r>
        <w:rPr>
          <w:rFonts w:ascii="Arial" w:cs="Arial" w:eastAsia="Arial" w:hAnsi="Arial"/>
          <w:sz w:val="24"/>
          <w:szCs w:val="24"/>
        </w:rPr>
        <w:t xml:space="preserve">ё) условия о возмещении субъектом предпринимательства, осуществляющим поставки продовольственных товаров, убытков в связи с утратой или повреждением таких товаров после перехода права собственности на такие товары, за исключением случаев, если утрата или повреждение произошли по вине субъекта предпринимательства, осуществляющего поставки таких товаров;</w:t>
      </w:r>
    </w:p>
    <w:p>
      <w:pPr>
        <w:spacing w:after="120"/>
        <w:ind w:firstLine="567"/>
        <w:jc w:val="both"/>
      </w:pPr>
      <w:r>
        <w:rPr>
          <w:rFonts w:ascii="Arial" w:cs="Arial" w:eastAsia="Arial" w:hAnsi="Arial"/>
          <w:sz w:val="24"/>
          <w:szCs w:val="24"/>
        </w:rPr>
        <w:t xml:space="preserve">ж) условия о возмещении субъектом предпринимательства затрат, не связанных с исполнением договора поставки продовольственных товаров и последующей продажей конкретной партии таких товаров;</w:t>
      </w:r>
    </w:p>
    <w:p>
      <w:pPr>
        <w:spacing w:after="120"/>
        <w:ind w:firstLine="567"/>
        <w:jc w:val="both"/>
      </w:pPr>
      <w:r>
        <w:rPr>
          <w:rFonts w:ascii="Arial" w:cs="Arial" w:eastAsia="Arial" w:hAnsi="Arial"/>
          <w:sz w:val="24"/>
          <w:szCs w:val="24"/>
        </w:rPr>
        <w:t xml:space="preserve">з) условия о возврате субъекту предпринимательства, осуществившему поставки продовольственных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Кыргызской Республики;</w:t>
      </w:r>
    </w:p>
    <w:p>
      <w:pPr>
        <w:spacing w:after="120"/>
        <w:ind w:firstLine="567"/>
        <w:jc w:val="both"/>
      </w:pPr>
      <w:r>
        <w:rPr>
          <w:rFonts w:ascii="Arial" w:cs="Arial" w:eastAsia="Arial" w:hAnsi="Arial"/>
          <w:sz w:val="24"/>
          <w:szCs w:val="24"/>
        </w:rPr>
        <w:t xml:space="preserve">и) иные условия, если они содержат существенные признаки условий, предусмотренных подпунктами "а" - "з" настоящего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Государственный контроль (надзор) за соблюдением требований настоящего Положения, в области торговой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 Государственный контроль за соблюдением требований настоящего Положения осуществляется государственным антимонопольным органом и его территориальными органами с правом выдачи соответствующих решений, обязательных для исполнения в порядке, установленном антимонопольным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Виды нарушений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К нарушениям настоящего Положения относятся:</w:t>
      </w:r>
    </w:p>
    <w:p>
      <w:pPr>
        <w:spacing w:after="120"/>
        <w:ind w:firstLine="567"/>
        <w:jc w:val="both"/>
      </w:pPr>
      <w:r>
        <w:rPr>
          <w:rFonts w:ascii="Arial" w:cs="Arial" w:eastAsia="Arial" w:hAnsi="Arial"/>
          <w:sz w:val="24"/>
          <w:szCs w:val="24"/>
        </w:rPr>
        <w:t xml:space="preserve">1) непредставление антимонопольному органу Кыргызской Республики запрашиваемых материалов по торговой деятельности организации и по поставщикам продукции;</w:t>
      </w:r>
    </w:p>
    <w:p>
      <w:pPr>
        <w:spacing w:after="120"/>
        <w:ind w:firstLine="567"/>
        <w:jc w:val="both"/>
      </w:pPr>
      <w:r>
        <w:rPr>
          <w:rFonts w:ascii="Arial" w:cs="Arial" w:eastAsia="Arial" w:hAnsi="Arial"/>
          <w:sz w:val="24"/>
          <w:szCs w:val="24"/>
        </w:rPr>
        <w:t xml:space="preserve">2) завышение регулируемых цен на социально значимые товары первой необходимости;</w:t>
      </w:r>
    </w:p>
    <w:p>
      <w:pPr>
        <w:spacing w:after="120"/>
        <w:ind w:firstLine="567"/>
        <w:jc w:val="both"/>
      </w:pPr>
      <w:r>
        <w:rPr>
          <w:rFonts w:ascii="Arial" w:cs="Arial" w:eastAsia="Arial" w:hAnsi="Arial"/>
          <w:sz w:val="24"/>
          <w:szCs w:val="24"/>
        </w:rPr>
        <w:t xml:space="preserve">3) непредоставление поставщику, субъекту торговой деятельности доступа к информации об условиях поставки и торговой деятельности;</w:t>
      </w:r>
    </w:p>
    <w:p>
      <w:pPr>
        <w:spacing w:after="120"/>
        <w:ind w:firstLine="567"/>
        <w:jc w:val="both"/>
      </w:pPr>
      <w:r>
        <w:rPr>
          <w:rFonts w:ascii="Arial" w:cs="Arial" w:eastAsia="Arial" w:hAnsi="Arial"/>
          <w:sz w:val="24"/>
          <w:szCs w:val="24"/>
        </w:rPr>
        <w:t xml:space="preserve">4) превышение уровня вознаграждения, установленного настоящим Положением;</w:t>
      </w:r>
    </w:p>
    <w:p>
      <w:pPr>
        <w:spacing w:after="120"/>
        <w:ind w:firstLine="567"/>
        <w:jc w:val="both"/>
      </w:pPr>
      <w:r>
        <w:rPr>
          <w:rFonts w:ascii="Arial" w:cs="Arial" w:eastAsia="Arial" w:hAnsi="Arial"/>
          <w:sz w:val="24"/>
          <w:szCs w:val="24"/>
        </w:rPr>
        <w:t xml:space="preserve">5) навязывание и/или понуждение на условия договора в нарушение требований настоящего Положения;</w:t>
      </w:r>
    </w:p>
    <w:p>
      <w:pPr>
        <w:spacing w:after="120"/>
        <w:ind w:firstLine="567"/>
        <w:jc w:val="both"/>
      </w:pPr>
      <w:r>
        <w:rPr>
          <w:rFonts w:ascii="Arial" w:cs="Arial" w:eastAsia="Arial" w:hAnsi="Arial"/>
          <w:sz w:val="24"/>
          <w:szCs w:val="24"/>
        </w:rPr>
        <w:t xml:space="preserve">6) нарушение сроков оплаты за товары;</w:t>
      </w:r>
    </w:p>
    <w:p>
      <w:pPr>
        <w:spacing w:after="120"/>
        <w:ind w:firstLine="567"/>
        <w:jc w:val="both"/>
      </w:pPr>
      <w:r>
        <w:rPr>
          <w:rFonts w:ascii="Arial" w:cs="Arial" w:eastAsia="Arial" w:hAnsi="Arial"/>
          <w:sz w:val="24"/>
          <w:szCs w:val="24"/>
        </w:rPr>
        <w:t xml:space="preserve">7) понуждение на производство каких-либо дополнительных услуг и мероприятий;</w:t>
      </w:r>
    </w:p>
    <w:p>
      <w:pPr>
        <w:spacing w:after="120"/>
        <w:ind w:firstLine="567"/>
        <w:jc w:val="both"/>
      </w:pPr>
      <w:r>
        <w:rPr>
          <w:rFonts w:ascii="Arial" w:cs="Arial" w:eastAsia="Arial" w:hAnsi="Arial"/>
          <w:sz w:val="24"/>
          <w:szCs w:val="24"/>
        </w:rPr>
        <w:t xml:space="preserve">8) принятие государственными органами и органами местного самоуправления актов, ограничивающих развитие торговой деятельности, и понуждение субъектов предпринимательства, осуществляющих торговую деятельность, к антиконкурентным действиям, предусмотренным настоящим пунктом.</w:t>
      </w:r>
    </w:p>
    <w:p>
      <w:pPr>
        <w:spacing w:after="120"/>
        <w:ind w:firstLine="567"/>
        <w:jc w:val="both"/>
      </w:pPr>
      <w:r>
        <w:rPr>
          <w:rFonts w:ascii="Arial" w:cs="Arial" w:eastAsia="Arial" w:hAnsi="Arial"/>
          <w:sz w:val="24"/>
          <w:szCs w:val="24"/>
        </w:rPr>
        <w:t xml:space="preserve">22. За нарушение требований настоящего Положения субъекты торговой деятельности, государственные органы и органы местного самоуправления несут ответственность в соответствии с </w:t>
      </w:r>
      <w:hyperlink w:history="1" r:id="rIdodtskird-eqtrs8yu6ee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nwfyjugir8piaj-epua_">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o60hnin7fgxhwpx_05t">
      <w:r>
        <w:rPr>
          <w:rFonts w:ascii="Arial" w:cs="Arial" w:eastAsia="Arial" w:hAnsi="Arial"/>
          <w:color w:val="132D3F"/>
          <w:sz w:val="16"/>
          <w:szCs w:val="16"/>
          <w:u w:val="single"/>
        </w:rPr>
        <w:t xml:space="preserve">dalil.kg/document/97026</w:t>
      </w:r>
    </w:hyperlink>
  </w:p>
  <w:p>
    <w:pPr>
      <w:spacing w:after="0" w:before="40"/>
      <w:jc w:val="center"/>
    </w:pPr>
    <w:hyperlink w:history="1" r:id="rIdwblu5xyzo6d2ged3mhb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rv8sic4dnqwpgobrvff" Type="http://schemas.openxmlformats.org/officeDocument/2006/relationships/hyperlink" Target="https://dalil.kg/document/97022" TargetMode="External"/><Relationship Id="rId42ggoy0lljynrp8mplybe" Type="http://schemas.openxmlformats.org/officeDocument/2006/relationships/hyperlink" Target="https://dalil.kg/document/230015625" TargetMode="External"/><Relationship Id="rIdx35zhahk7qn0adtcckxla" Type="http://schemas.openxmlformats.org/officeDocument/2006/relationships/hyperlink" Target="https://dalil.kg/document/203356" TargetMode="External"/><Relationship Id="rIdimz4hzqvn19pe_h9khr29" Type="http://schemas.openxmlformats.org/officeDocument/2006/relationships/hyperlink" Target="https://dalil.kg/document/112562" TargetMode="External"/><Relationship Id="rIdikt9bym-xrqyjgzknqrb7" Type="http://schemas.openxmlformats.org/officeDocument/2006/relationships/hyperlink" Target="https://dalil.kg/document/202397" TargetMode="External"/><Relationship Id="rId0wqj8wi9v-i4gkrkdidum" Type="http://schemas.openxmlformats.org/officeDocument/2006/relationships/hyperlink" Target="https://dalil.kg/document/230015625" TargetMode="External"/><Relationship Id="rIdripd46dacfzhpxua_g6pk" Type="http://schemas.openxmlformats.org/officeDocument/2006/relationships/hyperlink" Target="https://dalil.kg/document/230015625" TargetMode="External"/><Relationship Id="rIdersegahgu9lqftehrbsd0" Type="http://schemas.openxmlformats.org/officeDocument/2006/relationships/hyperlink" Target="https://dalil.kg/document/230015625" TargetMode="External"/><Relationship Id="rIdzcw3dinxka0msxjzonhev" Type="http://schemas.openxmlformats.org/officeDocument/2006/relationships/hyperlink" Target="https://dalil.kg/document/230015625" TargetMode="External"/><Relationship Id="rIdodtskird-eqtrs8yu6ees" Type="http://schemas.openxmlformats.org/officeDocument/2006/relationships/hyperlink" Target="https://dalil.kg/document/112306" TargetMode="External"/><Relationship Id="rId6nwfyjugir8piaj-epua_" Type="http://schemas.openxmlformats.org/officeDocument/2006/relationships/hyperlink" Target="https://dalil.kg/document/23001562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o60hnin7fgxhwpx_05t" Type="http://schemas.openxmlformats.org/officeDocument/2006/relationships/hyperlink" Target="https://dalil.kg/document/97026" TargetMode="External"/><Relationship Id="rIdwblu5xyzo6d2ged3mhb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2026-09-23T16:41:09.632Z</dcterms:created>
  <dcterms:modified xsi:type="dcterms:W3CDTF">2026-09-23T16:41:09.632Z</dcterms:modified>
</cp:coreProperties>
</file>

<file path=docProps/custom.xml><?xml version="1.0" encoding="utf-8"?>
<Properties xmlns="http://schemas.openxmlformats.org/officeDocument/2006/custom-properties" xmlns:vt="http://schemas.openxmlformats.org/officeDocument/2006/docPropsVTypes"/>
</file>