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3ap60yhml1649ciy14c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присвоения адресов и ведения Адресного регистра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sfkpzgwhhlfpxn64aa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5ruaketil035wkkcz8r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присвоения адресов и ведения Адресного регистра в Кыргызской Республике (далее - Положение) определяет порядок присвоения, формирования, регистрации адресов и ведения Адресного регистра.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все виды адресной информации об объектах недвижимости всех форм собственности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Адресного регистра представляет собой единую систему следующих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изменений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сведений об аннулировании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архивирование адресной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справочных данных из Адресного регистра.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Адреса объектов недвижимости и их изменения регистрируются в Адресном регистре, а сведения об аннулировании адресов вносятся в Адресный регистр на основании законов Кыргызской Республики, решений представительных органов местного самоуправления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целями определения единого порядка присвоения объектам недвижимости адресов и ведения Адресного регистра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централизованного учета адресов объектов недвижимости на различных этапах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месторасположения объекта недвижимости адресу, зарегистрированному в Адресном регистре;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основы для информационного обеспечения сведениями об адресах объектов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адреса объекта недвижимости, изменений адреса, внесение в Адресный регистр сведений об аннулировании адреса, хранение, архивирование и выдача справочных данных, присвоение номеров объектам недвижимости осуществляются Службой земельных ресурсов при Министерстве сельского хозяйства Кыргызской Республики (далее - уполномоченный государственный орган по ведению кадастра и регистрации прав на недвижимое имущество).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cdrmdmzcjfwadilgvq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- структурное описание совокупных реквизитов местоположения (местонахождения) объекта недвижимости на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Адресный регистр</w:t>
      </w:r>
      <w:r>
        <w:rPr>
          <w:rFonts w:ascii="Arial" w:cs="Arial" w:eastAsia="Arial" w:hAnsi="Arial"/>
          <w:sz w:val="24"/>
          <w:szCs w:val="24"/>
        </w:rPr>
        <w:t xml:space="preserve"> - совокупность записей, содержащих сведения об элементах адреса объектов недвижимости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аннулирование адреса</w:t>
      </w:r>
      <w:r>
        <w:rPr>
          <w:rFonts w:ascii="Arial" w:cs="Arial" w:eastAsia="Arial" w:hAnsi="Arial"/>
          <w:sz w:val="24"/>
          <w:szCs w:val="24"/>
        </w:rPr>
        <w:t xml:space="preserve"> - признание недействительным текущего адреса объекта недвижимости, содержащегося в Адресном регистре;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адреса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 по включению в Адресный регистр записи об элементах адреса объекта недвижимости, содержащих сведения из документов, устанавливающих адрес объекта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элемент адреса</w:t>
      </w:r>
      <w:r>
        <w:rPr>
          <w:rFonts w:ascii="Arial" w:cs="Arial" w:eastAsia="Arial" w:hAnsi="Arial"/>
          <w:sz w:val="24"/>
          <w:szCs w:val="24"/>
        </w:rPr>
        <w:t xml:space="preserve"> - реквизит, описывающий местоположение объекта недвижимости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объекта недвижимости</w:t>
      </w:r>
      <w:r>
        <w:rPr>
          <w:rFonts w:ascii="Arial" w:cs="Arial" w:eastAsia="Arial" w:hAnsi="Arial"/>
          <w:sz w:val="24"/>
          <w:szCs w:val="24"/>
        </w:rPr>
        <w:t xml:space="preserve"> - обязательный элемент адреса, выраженный целым положительным числом;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буквенный индекс (буква)</w:t>
      </w:r>
      <w:r>
        <w:rPr>
          <w:rFonts w:ascii="Arial" w:cs="Arial" w:eastAsia="Arial" w:hAnsi="Arial"/>
          <w:sz w:val="24"/>
          <w:szCs w:val="24"/>
        </w:rPr>
        <w:t xml:space="preserve"> - необязательный элемент адреса, выраженный одной заглавной буквой кыргызского алфавита (за исключением букв "й" (и краткое), "ё", "о", "у", "н"), используемый для расширения адресного пространства;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корпус</w:t>
      </w:r>
      <w:r>
        <w:rPr>
          <w:rFonts w:ascii="Arial" w:cs="Arial" w:eastAsia="Arial" w:hAnsi="Arial"/>
          <w:sz w:val="24"/>
          <w:szCs w:val="24"/>
        </w:rPr>
        <w:t xml:space="preserve"> - необязательный элемент адреса, выраженный целым положительным числом, используемый для неограниченного расширения адресного пространства.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и присвоения адресов объектам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Каждому объекту недвижимости присваивается уникальный адрес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Полный адрес объекта недвижимости содержит в себе следующие элементы: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населенного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адресный элемент;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улицы;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объекта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буквенный индекс (буква) или корпус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квартиры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yn5tcy_py-mysplpna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формировании полного адреса объекта недвижимости элементы адреса указываются в строгой последовательности, в соответствии со структурой адреса объекта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3zd7xgiffe5nce3xb3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нелинейных объектов, содержащих объекты недвижимости и не имеющих улиц, присваивается тип улицы "Массив".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территории Кыргызской Республики при написании адресных элементов допускаются следующие сокращения: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4001"/>
        <w:gridCol w:w="5251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название</w:t>
            </w:r>
          </w:p>
        </w:tc>
        <w:tc>
          <w:tcPr>
            <w:tcW w:type="dxa" w:w="5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Сокращенное название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разъезд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рзд.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прзд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заезд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аллея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аллея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бульвар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кв-л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переулок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тупик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туп.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шоссе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кошара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кошара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урочище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урочище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МТФ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МТФ</w:t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sa1vgsrm_vijczmbsp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 одинаковых адресов объектов недвижимости не допускается. Выявленные несоответствия по адресам подлежат изменению согласно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Номера объектов недвижимости, в том числе на угловых объектах, устанавливаются на фасадах каждого объекта. Данное правило является обязательным для объектов капитального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Нумерация объектов недвижимости осуществляется с учетом перспектив развития объекта: с нечетными номерами по левой стороне улицы и четными номерами по правой, с востока на запад и с юга на север.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mn_m36mhfujefmurzk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Нумерация объекта недвижимости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улиц, имеющих направление с юга на север, - увеличение номеров на север;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улиц, имеющих направление с востока на запад, - увеличение номеров на запад.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Нумерация комплексных объектов недвижимости производится в соответствии с правилами, утвержденными уполномоченным государственным органом по ведению кадастра и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Вновь построенным многоквартирным жилым домам номера квартир присваиваются строго по часовой стрелке, то есть слева направо.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Объекты недвижимости, находящиеся на перекрестках бульваров, проспектов, улиц, должны иметь один адрес по наименованию бульвара, проспекта, улицы, на которых находится главный фасад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Номера объектов недвижимости, квартир и указателей подъездов многоквартирных жилых домов должны поддерживаться в надлежащем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vhyxmolrlmrpmsvo2t1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декабря 2021 года № 294)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ведения Адресного регистра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Перечень обязательных реквизитов Адресного регистра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учетный номер, дату регистрации адреса объекта недвижимости и изменений адреса, а также внесения в Адресный регистр сведений об аннулировании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на вид объекта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основании для регистрации адреса объекта недвижимости и изменений адреса, а также внесения в Адресный регистр сведений об аннулировании адреса (вид и реквизиты документа).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Записи Адресного регистра ведутся в электронном виде с выводом, при необходимости, информации на бумажные носители. Архив Адресного регистра ведется в виде резервных копий электронной базы данных и в делах, заведенных при формировании и присвоении адреса объекту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Органы местного самоуправления Кыргызской Республики в течение 5 (пяти) рабочих дней со дня принятия решения о присвоении (изменении, аннулировании) наименований проспектов, аллей, площадей, городских или сельских парков, бульваров, улиц и переулков в обязательном порядке направляют в территориальные подразделения уполномоченного государственного органа по ведению кадастра и регистрации прав на недвижимое имущество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решения представительного органа местного самоуправления Кыргызской Республики о присвоении (изменении, аннулировании) наименований проспектов, аллей, площадей, городских или сельских парков, бульваров, улиц и переулков;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 отмеченным на нем объектом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органов местного самоуправления Кыргызской Республики несут ответственность за своевременное предоставление и полноту информации о присвоении, изменении или аннулировании наименований проспектов, аллей, площадей, городских или сельских парков, бульваров, улиц и переулков.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no5v9l5ka4ipgngyu6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подразделения уполномоченного государственного органа по ведению кадастра и регистрации прав на недвижимое имущество осуществляют регистрацию адреса объекта недвижимости и его изменений, нанесение границ объекта недвижимости на электронную карту Адресного регистра, внесение в Адресный регистр сведений об аннулировании адреса в течение 5 (пяти) рабочих дней со дня поступления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tntjo2yatqnwl1d6iu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Наименования административно-территориальных единиц, населенных пунктов, проспектов, аллей, площадей, городских, сельских парков, бульваров, улиц и переулков вносятся в Адресный регистр в точном написании, указанном в соответствующих законах Кыргызской Республики и решениях представительных органов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3ibiootdvgvkrz23an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Изменение и аннулирование адреса объекта недвижимости производятся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переименовании, объединении либо упразднении административно-территориальных единиц, населенных пунктов, проспектов, аллей, площадей, городских, сельских парков, бульваров, улиц и переулков;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разделении объектов недвижимости на самостоятельные единицы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образовании нового объекта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объединении двух и более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упорядочении застроенной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несоответствия существующего адреса объекта недвижимости его фактическому расположению на территории Кыргызской Республики и адресам, присвоенным соседним объектам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n-dbiv8lleiurklijnp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октября 2016 года № 559)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re5jn5ez7rqsyg_wlw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и управление электронной картой Адресного регистра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</w:t>
      </w:r>
      <w:hyperlink w:history="1" r:id="rIdib8lcy-ojeyr4jr7mwp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октября 2016 года № 559)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структуру Адресного регистра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классификатор системы обозначений объектов административно-территориальных и территориальных единиц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 наименований улиц с перечнем устанавливающих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 номеров объектов недвижимости, расположенных на определенной улице;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таблица, содержащая сведения о местоположении (местонахождении)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 пользователей Адресного регистра, позволяющая назначать права доступа к ней, отслеживать все действия с адресами объектов недвижимости, осуществлять администрирование и комплекс мер по защите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истории изменений, вносимых в Адресный регистр;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картографические данные, позволяющие определить пространственное местоположение объектов недвижимости или их совокупность на электронной карте обозначений объектов административно-территориальных и территориальных единиц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m1yq34psdumsuuhy4d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28-1. Управление электронной картой Адресного регистра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цифровых моделей административных районов и территорий административного управления в виде замкнутых, топологически корректно примыкающих друг к другу многоугольников;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объектов недвижимости по имеющимся координатам и обработка данных GPS аппаратуры;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адресного плана объекта недвижимости на электронной карте Адресного регистра (квартиры и комнаты в адресном плане не отображаются);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границ избирательных участков, зон обслуживания жилищно-коммунального хозяйства, границ участков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azgbcfjbpvgzlvumjb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28-2. Формирование электронной карты территории Кыргызской Республики для выборных целей производится Центральной комиссией по выборам и проведению референдумов Кыргызской Республики в соответствии с утвержденными границами избирательных участков: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и изменение наименований и границ избирательных участков на электронной карте Адресного регистра производится единовременно и прекращается после электронного подтверждения в информационной системе "Адресный регистр Кыргызской Республики" уполномоченным лицом Центральной комиссией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uclzci7duc38pml1mt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Предоставление сведений из Адресного регистра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 из Адресного регистра является открытой, общедоступной, выдается всем заинтересованным юридическим и физическим лицам и должна использоваться в официальных документах и внутриведомственных информационных системах государственных органов Кыргызской Республики и органах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ho3gu6lqq883tzs6du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Справочные и картографические данные из Адресного регистра выдаются в соответствии с законодательством Кыргызской Республики по форме, утвержденной уполномоченным государственным органом по ведению кадастра и регистрации прав на недвижимое имущество, на основании заявления заинтересованного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5sxam3mnbijsgifaw0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fsonnqjkladxceuqe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dalil.kg/document/97086</w:t>
      </w:r>
    </w:hyperlink>
  </w:p>
  <w:p>
    <w:pPr>
      <w:spacing w:after="0" w:before="40"/>
      <w:jc w:val="center"/>
    </w:pPr>
    <w:hyperlink w:history="1" r:id="rIdvcqincmdkcj3naaoirf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p60yhml1649ciy14c8b" Type="http://schemas.openxmlformats.org/officeDocument/2006/relationships/hyperlink" Target="https://dalil.kg/document/97085" TargetMode="External"/><Relationship Id="rIdcsfkpzgwhhlfpxn64aa37" Type="http://schemas.openxmlformats.org/officeDocument/2006/relationships/hyperlink" Target="https://dalil.kg/document/99500" TargetMode="External"/><Relationship Id="rId5ruaketil035wkkcz8rfp" Type="http://schemas.openxmlformats.org/officeDocument/2006/relationships/hyperlink" Target="https://dalil.kg/document/158751" TargetMode="External"/><Relationship Id="rId4cdrmdmzcjfwadilgvqcf" Type="http://schemas.openxmlformats.org/officeDocument/2006/relationships/hyperlink" Target="https://dalil.kg/document/158751" TargetMode="External"/><Relationship Id="rId1yn5tcy_py-mysplpnabp" Type="http://schemas.openxmlformats.org/officeDocument/2006/relationships/hyperlink" Target="https://dalil.kg/document/99500" TargetMode="External"/><Relationship Id="rIde3zd7xgiffe5nce3xb3sy" Type="http://schemas.openxmlformats.org/officeDocument/2006/relationships/hyperlink" Target="https://dalil.kg/document/99500" TargetMode="External"/><Relationship Id="rIdbsa1vgsrm_vijczmbspx-" Type="http://schemas.openxmlformats.org/officeDocument/2006/relationships/hyperlink" Target="https://dalil.kg/document/99500" TargetMode="External"/><Relationship Id="rIdfmn_m36mhfujefmurzkas" Type="http://schemas.openxmlformats.org/officeDocument/2006/relationships/hyperlink" Target="https://dalil.kg/document/99500" TargetMode="External"/><Relationship Id="rIdvhyxmolrlmrpmsvo2t1u-" Type="http://schemas.openxmlformats.org/officeDocument/2006/relationships/hyperlink" Target="https://dalil.kg/document/158751" TargetMode="External"/><Relationship Id="rId8no5v9l5ka4ipgngyu6gn" Type="http://schemas.openxmlformats.org/officeDocument/2006/relationships/hyperlink" Target="https://dalil.kg/document/99500" TargetMode="External"/><Relationship Id="rIdytntjo2yatqnwl1d6iu1a" Type="http://schemas.openxmlformats.org/officeDocument/2006/relationships/hyperlink" Target="https://dalil.kg/document/99500" TargetMode="External"/><Relationship Id="rIdc3ibiootdvgvkrz23anet" Type="http://schemas.openxmlformats.org/officeDocument/2006/relationships/hyperlink" Target="https://dalil.kg/document/99500" TargetMode="External"/><Relationship Id="rIdn-dbiv8lleiurklijnp3e" Type="http://schemas.openxmlformats.org/officeDocument/2006/relationships/hyperlink" Target="https://dalil.kg/document/99500" TargetMode="External"/><Relationship Id="rIdxre5jn5ez7rqsyg_wlwv0" Type="http://schemas.openxmlformats.org/officeDocument/2006/relationships/hyperlink" Target="https://dalil.kg/document/99500" TargetMode="External"/><Relationship Id="rIdib8lcy-ojeyr4jr7mwpqd" Type="http://schemas.openxmlformats.org/officeDocument/2006/relationships/hyperlink" Target="https://dalil.kg/document/99500" TargetMode="External"/><Relationship Id="rIdqm1yq34psdumsuuhy4dg7" Type="http://schemas.openxmlformats.org/officeDocument/2006/relationships/hyperlink" Target="https://dalil.kg/document/99500" TargetMode="External"/><Relationship Id="rIdzazgbcfjbpvgzlvumjbad" Type="http://schemas.openxmlformats.org/officeDocument/2006/relationships/hyperlink" Target="https://dalil.kg/document/99500" TargetMode="External"/><Relationship Id="rIdyuclzci7duc38pml1mtdq" Type="http://schemas.openxmlformats.org/officeDocument/2006/relationships/hyperlink" Target="https://dalil.kg/document/99500" TargetMode="External"/><Relationship Id="rIdxho3gu6lqq883tzs6dukx" Type="http://schemas.openxmlformats.org/officeDocument/2006/relationships/hyperlink" Target="https://dalil.kg/document/99500" TargetMode="External"/><Relationship Id="rIdq5sxam3mnbijsgifaw0nf" Type="http://schemas.openxmlformats.org/officeDocument/2006/relationships/hyperlink" Target="https://dalil.kg/document/9950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fsonnqjkladxceuqen3" Type="http://schemas.openxmlformats.org/officeDocument/2006/relationships/hyperlink" Target="https://dalil.kg/document/97086" TargetMode="External"/><Relationship Id="rIdvcqincmdkcj3naaoirf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2026-09-23T22:20:01.097Z</dcterms:created>
  <dcterms:modified xsi:type="dcterms:W3CDTF">2026-09-23T22:20:01.097Z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