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24 ноября 2014 года № 670</w:t>
      </w:r>
    </w:p>
    <w:p>
      <w:pPr>
        <w:spacing w:after="120"/>
        <w:jc w:val="both"/>
      </w:pPr>
      <w:r>
        <w:rPr>
          <w:rFonts w:ascii="Arial" w:cs="Arial" w:eastAsia="Arial" w:hAnsi="Arial"/>
          <w:sz w:val="24"/>
          <w:szCs w:val="24"/>
        </w:rPr>
        <w:t xml:space="preserve">Об утверждении Концепции развития системы</w:t>
      </w:r>
    </w:p>
    <w:p>
      <w:pPr>
        <w:spacing w:after="120"/>
        <w:jc w:val="both"/>
      </w:pPr>
      <w:r>
        <w:rPr>
          <w:rFonts w:ascii="Arial" w:cs="Arial" w:eastAsia="Arial" w:hAnsi="Arial"/>
          <w:sz w:val="24"/>
          <w:szCs w:val="24"/>
        </w:rPr>
        <w:t xml:space="preserve">пенсионного обеспечения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0rcncy-y_lg1chhwxd3n3">
        <w:r>
          <w:rPr>
            <w:rFonts w:ascii="Arial" w:cs="Arial" w:eastAsia="Arial" w:hAnsi="Arial"/>
            <w:b w:val="false"/>
            <w:bCs w:val="false"/>
            <w:i/>
            <w:iCs/>
            <w:color w:val="1D4ED8"/>
            <w:sz w:val="24"/>
            <w:szCs w:val="24"/>
            <w:u w:val="single"/>
          </w:rPr>
          <w:t xml:space="preserve">2 декабря 2015 года № 825</w:t>
        </w:r>
      </w:hyperlink>
      <w:r>
        <w:rPr>
          <w:rFonts w:ascii="Arial" w:cs="Arial" w:eastAsia="Arial" w:hAnsi="Arial"/>
          <w:b w:val="false"/>
          <w:bCs w:val="false"/>
          <w:i/>
          <w:iCs/>
          <w:sz w:val="24"/>
          <w:szCs w:val="24"/>
        </w:rPr>
        <w:t xml:space="preserve">, </w:t>
      </w:r>
      <w:hyperlink w:history="1" r:id="rIdtfry5oniatfd8u9tjhjbj">
        <w:r>
          <w:rPr>
            <w:rFonts w:ascii="Arial" w:cs="Arial" w:eastAsia="Arial" w:hAnsi="Arial"/>
            <w:b w:val="false"/>
            <w:bCs w:val="false"/>
            <w:i/>
            <w:iCs/>
            <w:color w:val="1D4ED8"/>
            <w:sz w:val="24"/>
            <w:szCs w:val="24"/>
            <w:u w:val="single"/>
          </w:rPr>
          <w:t xml:space="preserve">2 февраля 2017 года № 55</w:t>
        </w:r>
      </w:hyperlink>
      <w:r>
        <w:rPr>
          <w:rFonts w:ascii="Arial" w:cs="Arial" w:eastAsia="Arial" w:hAnsi="Arial"/>
          <w:b w:val="false"/>
          <w:bCs w:val="false"/>
          <w:i/>
          <w:iCs/>
          <w:sz w:val="24"/>
          <w:szCs w:val="24"/>
        </w:rPr>
        <w:t xml:space="preserve">, </w:t>
      </w:r>
      <w:hyperlink w:history="1" r:id="rIdzope08dqemwc6uq4yude_">
        <w:r>
          <w:rPr>
            <w:rFonts w:ascii="Arial" w:cs="Arial" w:eastAsia="Arial" w:hAnsi="Arial"/>
            <w:b w:val="false"/>
            <w:bCs w:val="false"/>
            <w:i/>
            <w:iCs/>
            <w:color w:val="1D4ED8"/>
            <w:sz w:val="24"/>
            <w:szCs w:val="24"/>
            <w:u w:val="single"/>
          </w:rPr>
          <w:t xml:space="preserve">15 мая 2017 года № 272</w:t>
        </w:r>
      </w:hyperlink>
      <w:r>
        <w:rPr>
          <w:rFonts w:ascii="Arial" w:cs="Arial" w:eastAsia="Arial" w:hAnsi="Arial"/>
          <w:b w:val="false"/>
          <w:bCs w:val="false"/>
          <w:i/>
          <w:iCs/>
          <w:sz w:val="24"/>
          <w:szCs w:val="24"/>
        </w:rPr>
        <w:t xml:space="preserve"> ,</w:t>
      </w:r>
      <w:r>
        <w:rPr>
          <w:rFonts w:ascii="Arial" w:cs="Arial" w:eastAsia="Arial" w:hAnsi="Arial"/>
          <w:sz w:val="24"/>
          <w:szCs w:val="24"/>
        </w:rPr>
        <w:t xml:space="preserve"> </w:t>
      </w:r>
      <w:hyperlink w:history="1" r:id="rIdx_8an9rbzwlvxvkzi3bh-">
        <w:r>
          <w:rPr>
            <w:rFonts w:ascii="Arial" w:cs="Arial" w:eastAsia="Arial" w:hAnsi="Arial"/>
            <w:b w:val="false"/>
            <w:bCs w:val="false"/>
            <w:i/>
            <w:iCs/>
            <w:color w:val="1D4ED8"/>
            <w:sz w:val="24"/>
            <w:szCs w:val="24"/>
            <w:u w:val="single"/>
          </w:rPr>
          <w:t xml:space="preserve">29 марта 2019 года № 144</w:t>
        </w:r>
      </w:hyperlink>
      <w:r>
        <w:rPr>
          <w:rFonts w:ascii="Arial" w:cs="Arial" w:eastAsia="Arial" w:hAnsi="Arial"/>
          <w:b w:val="false"/>
          <w:bCs w:val="false"/>
          <w:i/>
          <w:iCs/>
          <w:sz w:val="24"/>
          <w:szCs w:val="24"/>
        </w:rPr>
        <w:t xml:space="preserve">, Кабинета Министров КР от </w:t>
      </w:r>
      <w:hyperlink w:history="1" r:id="rIdatco-in_alwytn_j0c8er">
        <w:r>
          <w:rPr>
            <w:rFonts w:ascii="Arial" w:cs="Arial" w:eastAsia="Arial" w:hAnsi="Arial"/>
            <w:b w:val="false"/>
            <w:bCs w:val="false"/>
            <w:i/>
            <w:iCs/>
            <w:color w:val="1D4ED8"/>
            <w:sz w:val="24"/>
            <w:szCs w:val="24"/>
            <w:u w:val="single"/>
          </w:rPr>
          <w:t xml:space="preserve">14 января 2022 года №9</w:t>
        </w:r>
        <w:r>
          <w:rPr>
            <w:rFonts w:ascii="Arial" w:cs="Arial" w:eastAsia="Arial" w:hAnsi="Arial"/>
            <w:sz w:val="24"/>
            <w:szCs w:val="24"/>
          </w:rPr>
          <w:t xml:space="preserve"> </w:t>
        </w:r>
        <w:r>
          <w:rPr>
            <w:rFonts w:ascii="Arial" w:cs="Arial" w:eastAsia="Arial" w:hAnsi="Arial"/>
            <w:b w:val="false"/>
            <w:bCs w:val="false"/>
            <w:i/>
            <w:iCs/>
            <w:color w:val="1D4ED8"/>
            <w:sz w:val="24"/>
            <w:szCs w:val="24"/>
            <w:u w:val="single"/>
          </w:rPr>
          <w:t xml:space="preserve">)</w:t>
        </w:r>
      </w:hyperlink>
    </w:p>
    <w:p>
      <w:pPr>
        <w:spacing w:after="120" w:before="240"/>
        <w:jc w:val="both"/>
      </w:pPr>
      <w:r>
        <w:rPr>
          <w:rFonts w:ascii="Arial" w:cs="Arial" w:eastAsia="Arial" w:hAnsi="Arial"/>
          <w:sz w:val="24"/>
          <w:szCs w:val="24"/>
        </w:rPr>
        <w:t xml:space="preserve">В целях дальнейшего развития и совершенствования системы пенсионного обеспечения, в соответствии со статьями 10 и 17 </w:t>
      </w:r>
      <w:hyperlink w:history="1" r:id="rIdo1_sk3pgnnwanungttx_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Концепцию развития системы пенсионного обеспечения Кыргызской Республики согласно </w:t>
      </w:r>
      <w:hyperlink w:history="1" r:id="rIdaupvrawca5egeh_av7ikt">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План мероприятий по реализации Концепции развития системы пенсионного обеспечения Кыргызской Республики (далее – План мероприятий) согласно </w:t>
      </w:r>
      <w:hyperlink w:history="1" r:id="rIdgm5di1wocxboln4jdfcl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w:t>
      </w:r>
    </w:p>
    <w:p>
      <w:pPr>
        <w:spacing w:after="120" w:before="240"/>
        <w:jc w:val="both"/>
      </w:pPr>
      <w:r>
        <w:rPr>
          <w:rFonts w:ascii="Arial" w:cs="Arial" w:eastAsia="Arial" w:hAnsi="Arial"/>
          <w:sz w:val="24"/>
          <w:szCs w:val="24"/>
        </w:rPr>
        <w:t xml:space="preserve">2. Министерствам и административным ведомствам ежегодно, не позднее 15 числа месяца, следующего за отчетным периодом, представлять отчет о ходе выполнения Плана мероприятий в Социальный фонд Кыргызской Республики.</w:t>
      </w:r>
    </w:p>
    <w:p>
      <w:pPr>
        <w:spacing w:after="120" w:before="240"/>
        <w:jc w:val="both"/>
      </w:pPr>
      <w:r>
        <w:rPr>
          <w:rFonts w:ascii="Arial" w:cs="Arial" w:eastAsia="Arial" w:hAnsi="Arial"/>
          <w:sz w:val="24"/>
          <w:szCs w:val="24"/>
        </w:rPr>
        <w:t xml:space="preserve">3. Социальному фонду Кыргызской Республики не позднее 25 числа месяца, следующего за отчетным периодом, представлять в Аппарат Правительства Кыргызской Республики отчет о ходе выполнения Плана мероприятий.</w:t>
      </w:r>
    </w:p>
    <w:p>
      <w:pPr>
        <w:spacing w:after="120" w:before="240"/>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before="240"/>
        <w:jc w:val="both"/>
      </w:pPr>
      <w:r>
        <w:rPr>
          <w:rFonts w:ascii="Arial" w:cs="Arial" w:eastAsia="Arial" w:hAnsi="Arial"/>
          <w:sz w:val="24"/>
          <w:szCs w:val="24"/>
        </w:rPr>
        <w:t xml:space="preserve">5. Настоящее постановление вступает в силу по истечении пятнадцати дней со дня его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развития системы</w:t>
      </w:r>
    </w:p>
    <w:p>
      <w:pPr>
        <w:spacing w:after="120"/>
        <w:jc w:val="both"/>
      </w:pPr>
      <w:r>
        <w:rPr>
          <w:rFonts w:ascii="Arial" w:cs="Arial" w:eastAsia="Arial" w:hAnsi="Arial"/>
          <w:sz w:val="24"/>
          <w:szCs w:val="24"/>
        </w:rPr>
        <w:t xml:space="preserve">пенсионного обеспечения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hilcnz6oqm_yvvvewkhaq">
        <w:r>
          <w:rPr>
            <w:rFonts w:ascii="Arial" w:cs="Arial" w:eastAsia="Arial" w:hAnsi="Arial"/>
            <w:b w:val="false"/>
            <w:bCs w:val="false"/>
            <w:i/>
            <w:iCs/>
            <w:color w:val="1D4ED8"/>
            <w:sz w:val="24"/>
            <w:szCs w:val="24"/>
            <w:u w:val="single"/>
          </w:rPr>
          <w:t xml:space="preserve">2 декабря 2015 года № 825</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Пенсионное обеспечение в силу своей социальной значимости играет важную роль в экономической, общественно-политической жизни и в финансово-бюджетной сфере государства. Пенсионная система органично связана с состоянием рынка труда и системой оплаты труда, налоговой и финансовой системами, а также с демографической и социально-экономической ситуацией в стране.</w:t>
      </w:r>
    </w:p>
    <w:p>
      <w:pPr>
        <w:spacing w:after="120"/>
        <w:jc w:val="both"/>
      </w:pPr>
      <w:r>
        <w:rPr>
          <w:rFonts w:ascii="Arial" w:cs="Arial" w:eastAsia="Arial" w:hAnsi="Arial"/>
          <w:sz w:val="24"/>
          <w:szCs w:val="24"/>
        </w:rPr>
        <w:t xml:space="preserve">В целом пенсионная система должна учитывать текущую экономическую ситуацию, в связи с чем требуется переосмысление механизма взаимодействия пенсионной системы с экономикой. Система пенсионного обеспечения должна содействовать стабилизации экономики. Необходима постоянная реализация мер по поддержанию уровня жизни пенсионеров в условиях роста стоимости жизни. При этом основные цели и задачи пенсионного обеспечения должны быть направлены, прежде всего, на усиление государственных гарантий по реализации конституционного права граждан на пенсию.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текущей ситуации в системе</w:t>
      </w:r>
    </w:p>
    <w:p>
      <w:pPr>
        <w:spacing w:after="120"/>
        <w:jc w:val="both"/>
      </w:pPr>
      <w:r>
        <w:rPr>
          <w:rFonts w:ascii="Arial" w:cs="Arial" w:eastAsia="Arial" w:hAnsi="Arial"/>
          <w:sz w:val="24"/>
          <w:szCs w:val="24"/>
        </w:rPr>
        <w:t xml:space="preserve">пенсионного обеспечения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обязательная пенсионная система Кыргызской Республики базируется на принципе солидарности и накопления: суммы уплаченных страховых взносов направляются на текущее финансирование пенсионных выплат пенсионерам и инвестирование средств пенсионных накоплений. Другим принципом построения пенсионной системы является страховой принцип: размер пенсии каждого застрахованного лица зависит от накопленных страховых взносов на личном страховом счете.</w:t>
      </w:r>
    </w:p>
    <w:p>
      <w:pPr>
        <w:spacing w:after="120"/>
        <w:jc w:val="both"/>
      </w:pPr>
      <w:r>
        <w:rPr>
          <w:rFonts w:ascii="Arial" w:cs="Arial" w:eastAsia="Arial" w:hAnsi="Arial"/>
          <w:sz w:val="24"/>
          <w:szCs w:val="24"/>
        </w:rPr>
        <w:t xml:space="preserve">В 1997 году в пенсионное законодательство Кыргызской Республики был внесен ряд существенных изменений:</w:t>
      </w:r>
    </w:p>
    <w:p>
      <w:pPr>
        <w:spacing w:after="120"/>
        <w:jc w:val="both"/>
      </w:pPr>
      <w:r>
        <w:rPr>
          <w:rFonts w:ascii="Arial" w:cs="Arial" w:eastAsia="Arial" w:hAnsi="Arial"/>
          <w:b w:val="false"/>
          <w:bCs w:val="false"/>
          <w:i/>
          <w:iCs/>
          <w:sz w:val="24"/>
          <w:szCs w:val="24"/>
        </w:rPr>
        <w:t xml:space="preserve">                        (Утратил силу в соответствии с </w:t>
      </w:r>
      <w:hyperlink w:history="1" r:id="rIdn6a2llph_qitc1hf9aeu0">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 аннулирование ряда льгот, в частности, раннего выхода на пенсию для представителей некоторых профессий и групп населения;</w:t>
      </w:r>
    </w:p>
    <w:p>
      <w:pPr>
        <w:spacing w:after="120"/>
        <w:jc w:val="both"/>
      </w:pPr>
      <w:r>
        <w:rPr>
          <w:rFonts w:ascii="Arial" w:cs="Arial" w:eastAsia="Arial" w:hAnsi="Arial"/>
          <w:sz w:val="24"/>
          <w:szCs w:val="24"/>
        </w:rPr>
        <w:t xml:space="preserve">                 - введение формулы пенсии из трех составляющих:</w:t>
      </w:r>
    </w:p>
    <w:p>
      <w:pPr>
        <w:spacing w:after="120"/>
        <w:jc w:val="both"/>
      </w:pPr>
      <w:r>
        <w:rPr>
          <w:rFonts w:ascii="Arial" w:cs="Arial" w:eastAsia="Arial" w:hAnsi="Arial"/>
          <w:sz w:val="24"/>
          <w:szCs w:val="24"/>
        </w:rPr>
        <w:t xml:space="preserve">                 гарантированная базовая пенсия каждому пенсионеру с достаточным стажем;</w:t>
      </w:r>
    </w:p>
    <w:p>
      <w:pPr>
        <w:spacing w:after="120"/>
        <w:jc w:val="both"/>
      </w:pPr>
      <w:r>
        <w:rPr>
          <w:rFonts w:ascii="Arial" w:cs="Arial" w:eastAsia="Arial" w:hAnsi="Arial"/>
          <w:sz w:val="24"/>
          <w:szCs w:val="24"/>
        </w:rPr>
        <w:t xml:space="preserve">                 пенсионное обеспечение в соответствии с трудовым вкладом работника, исчисляемое как процент от средней заработной платы до 1996 года;</w:t>
      </w:r>
    </w:p>
    <w:p>
      <w:pPr>
        <w:spacing w:after="120"/>
        <w:jc w:val="both"/>
      </w:pPr>
      <w:r>
        <w:rPr>
          <w:rFonts w:ascii="Arial" w:cs="Arial" w:eastAsia="Arial" w:hAnsi="Arial"/>
          <w:sz w:val="24"/>
          <w:szCs w:val="24"/>
        </w:rPr>
        <w:t xml:space="preserve">                 индивидуальные пенсионные взносы, накопленные на счету пенсионера.</w:t>
      </w:r>
    </w:p>
    <w:p>
      <w:pPr>
        <w:spacing w:after="120"/>
        <w:jc w:val="both"/>
      </w:pPr>
      <w:r>
        <w:rPr>
          <w:rFonts w:ascii="Arial" w:cs="Arial" w:eastAsia="Arial" w:hAnsi="Arial"/>
          <w:sz w:val="24"/>
          <w:szCs w:val="24"/>
        </w:rPr>
        <w:t xml:space="preserve">Одним из позитивных результатов является введение системы персонифицированного учета граждан в целях усиления стимулирующей роли страховых взносов.</w:t>
      </w:r>
    </w:p>
    <w:p>
      <w:pPr>
        <w:spacing w:after="120"/>
        <w:jc w:val="both"/>
      </w:pPr>
      <w:r>
        <w:rPr>
          <w:rFonts w:ascii="Arial" w:cs="Arial" w:eastAsia="Arial" w:hAnsi="Arial"/>
          <w:sz w:val="24"/>
          <w:szCs w:val="24"/>
        </w:rPr>
        <w:t xml:space="preserve">В 2010 году предприняты шаги по дальнейшему реформированию условно-накопительной пенсионной системы. Так, с 1 января 2010 года в Кыргызской Республике в систему с условно-накопительными пенсионными счетами был введен накопительный компонент в размере 2 % от взноса работника, с предварительным увеличением его с 8 % до 10 %.</w:t>
      </w:r>
    </w:p>
    <w:p>
      <w:pPr>
        <w:spacing w:after="120"/>
        <w:jc w:val="both"/>
      </w:pPr>
      <w:r>
        <w:rPr>
          <w:rFonts w:ascii="Arial" w:cs="Arial" w:eastAsia="Arial" w:hAnsi="Arial"/>
          <w:sz w:val="24"/>
          <w:szCs w:val="24"/>
        </w:rPr>
        <w:t xml:space="preserve">Накопительный компонент в структуре пенсионной системы призван снизить зависимость системы пенсионного обеспечения от возможных демографических проблем в будущем и повысить привлекательность пенсионной системы.</w:t>
      </w:r>
    </w:p>
    <w:p>
      <w:pPr>
        <w:spacing w:after="120"/>
        <w:jc w:val="both"/>
      </w:pPr>
      <w:r>
        <w:rPr>
          <w:rFonts w:ascii="Arial" w:cs="Arial" w:eastAsia="Arial" w:hAnsi="Arial"/>
          <w:sz w:val="24"/>
          <w:szCs w:val="24"/>
        </w:rPr>
        <w:t xml:space="preserve">После внедрения накопительного компонента пенсионная система Кыргызской Республики состоит из трех компонентов:</w:t>
      </w:r>
    </w:p>
    <w:p>
      <w:pPr>
        <w:spacing w:after="120"/>
        <w:jc w:val="both"/>
      </w:pPr>
      <w:r>
        <w:rPr>
          <w:rFonts w:ascii="Arial" w:cs="Arial" w:eastAsia="Arial" w:hAnsi="Arial"/>
          <w:sz w:val="24"/>
          <w:szCs w:val="24"/>
        </w:rPr>
        <w:t xml:space="preserve">- государственная обязательная солидарная пенсионная система;</w:t>
      </w:r>
    </w:p>
    <w:p>
      <w:pPr>
        <w:spacing w:after="120"/>
        <w:jc w:val="both"/>
      </w:pPr>
      <w:r>
        <w:rPr>
          <w:rFonts w:ascii="Arial" w:cs="Arial" w:eastAsia="Arial" w:hAnsi="Arial"/>
          <w:sz w:val="24"/>
          <w:szCs w:val="24"/>
        </w:rPr>
        <w:t xml:space="preserve">- обязательный накопительный компонент;</w:t>
      </w:r>
    </w:p>
    <w:p>
      <w:pPr>
        <w:spacing w:after="120"/>
        <w:jc w:val="both"/>
      </w:pPr>
      <w:r>
        <w:rPr>
          <w:rFonts w:ascii="Arial" w:cs="Arial" w:eastAsia="Arial" w:hAnsi="Arial"/>
          <w:sz w:val="24"/>
          <w:szCs w:val="24"/>
        </w:rPr>
        <w:t xml:space="preserve">- добровольная индивидуальная накопительная система.</w:t>
      </w:r>
    </w:p>
    <w:p>
      <w:pPr>
        <w:spacing w:after="120"/>
        <w:jc w:val="both"/>
      </w:pPr>
      <w:r>
        <w:rPr>
          <w:rFonts w:ascii="Arial" w:cs="Arial" w:eastAsia="Arial" w:hAnsi="Arial"/>
          <w:sz w:val="24"/>
          <w:szCs w:val="24"/>
        </w:rPr>
        <w:t xml:space="preserve">Первый компонент состоит из солидарной пенсионной системы, которая включает базовую часть пенсии, первую и вторую страховые части пенсий.</w:t>
      </w:r>
    </w:p>
    <w:p>
      <w:pPr>
        <w:spacing w:after="120"/>
        <w:jc w:val="both"/>
      </w:pPr>
      <w:r>
        <w:rPr>
          <w:rFonts w:ascii="Arial" w:cs="Arial" w:eastAsia="Arial" w:hAnsi="Arial"/>
          <w:sz w:val="24"/>
          <w:szCs w:val="24"/>
        </w:rPr>
        <w:t xml:space="preserve">Второй компонент обязателен для граждан Кыргызской Республики, работающих в организованном секторе (в бюджетных учреждениях, частных компаниях различной организационно-правовой формы). Граждане перечисляют страховые взносы на накопление в размере 2 % от размера заработной платы (дохода).</w:t>
      </w:r>
    </w:p>
    <w:p>
      <w:pPr>
        <w:spacing w:after="120"/>
        <w:jc w:val="both"/>
      </w:pPr>
      <w:r>
        <w:rPr>
          <w:rFonts w:ascii="Arial" w:cs="Arial" w:eastAsia="Arial" w:hAnsi="Arial"/>
          <w:sz w:val="24"/>
          <w:szCs w:val="24"/>
        </w:rPr>
        <w:t xml:space="preserve">Третий, добровольный накопительный компонент включает в себя добровольную индивидуальную накопительную схему.</w:t>
      </w:r>
    </w:p>
    <w:p>
      <w:pPr>
        <w:spacing w:after="120"/>
        <w:jc w:val="both"/>
      </w:pPr>
      <w:r>
        <w:rPr>
          <w:rFonts w:ascii="Arial" w:cs="Arial" w:eastAsia="Arial" w:hAnsi="Arial"/>
          <w:sz w:val="24"/>
          <w:szCs w:val="24"/>
        </w:rPr>
        <w:t xml:space="preserve">Характеристика параметров</w:t>
      </w:r>
    </w:p>
    <w:p>
      <w:pPr>
        <w:spacing w:after="120"/>
        <w:jc w:val="both"/>
      </w:pPr>
      <w:r>
        <w:rPr>
          <w:rFonts w:ascii="Arial" w:cs="Arial" w:eastAsia="Arial" w:hAnsi="Arial"/>
          <w:sz w:val="24"/>
          <w:szCs w:val="24"/>
        </w:rPr>
        <w:t xml:space="preserve">пенсионной системы в Кыргызской Республике</w:t>
      </w:r>
    </w:p>
    <w:p>
      <w:pPr>
        <w:spacing w:after="120" w:before="24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1"/>
        <w:gridCol w:w="2183"/>
        <w:gridCol w:w="2183"/>
        <w:gridCol w:w="2029"/>
        <w:gridCol w:w="1891"/>
      </w:tblGrid>
      <w:tr>
        <w:tc>
          <w:tcPr>
            <w:tcW w:type="dxa" w:w="18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Параметры</w:t>
            </w:r>
          </w:p>
        </w:tc>
        <w:tc>
          <w:tcPr>
            <w:tcW w:type="dxa" w:w="21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w:t>
            </w:r>
          </w:p>
        </w:tc>
        <w:tc>
          <w:tcPr>
            <w:tcW w:type="dxa" w:w="21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часть пенсии</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Накопительная часть пенсии</w:t>
            </w:r>
          </w:p>
        </w:tc>
        <w:tc>
          <w:tcPr>
            <w:tcW w:type="dxa" w:w="18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Добровольная накопительная часть пенсии</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Принципы организации</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поддержка</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Солидарный принцип и</w:t>
            </w:r>
          </w:p>
          <w:p>
            <w:pPr>
              <w:jc w:val="left"/>
            </w:pPr>
            <w:r>
              <w:rPr>
                <w:rFonts w:ascii="Arial" w:cs="Arial" w:eastAsia="Arial" w:hAnsi="Arial"/>
                <w:sz w:val="24"/>
                <w:szCs w:val="24"/>
              </w:rPr>
              <w:t xml:space="preserve">личная ответственность работника</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Личная ответственность работника</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Личная ответственность работника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источники и условия назначения пенсии</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w:t>
            </w:r>
          </w:p>
          <w:p>
            <w:pPr>
              <w:jc w:val="left"/>
            </w:pPr>
            <w:r>
              <w:rPr>
                <w:rFonts w:ascii="Arial" w:cs="Arial" w:eastAsia="Arial" w:hAnsi="Arial"/>
                <w:sz w:val="24"/>
                <w:szCs w:val="24"/>
              </w:rPr>
              <w:t xml:space="preserve">из республиканского бюджета</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взносы работодателя и работника</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взносы работника</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взносы работника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Порядок исчисления размеров пенсий</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w:t>
            </w:r>
          </w:p>
          <w:p>
            <w:pPr>
              <w:jc w:val="left"/>
            </w:pPr>
            <w:r>
              <w:rPr>
                <w:rFonts w:ascii="Arial" w:cs="Arial" w:eastAsia="Arial" w:hAnsi="Arial"/>
                <w:sz w:val="24"/>
                <w:szCs w:val="24"/>
              </w:rPr>
              <w:t xml:space="preserve">размер зависит</w:t>
            </w:r>
          </w:p>
          <w:p>
            <w:pPr>
              <w:jc w:val="left"/>
            </w:pPr>
            <w:r>
              <w:rPr>
                <w:rFonts w:ascii="Arial" w:cs="Arial" w:eastAsia="Arial" w:hAnsi="Arial"/>
                <w:sz w:val="24"/>
                <w:szCs w:val="24"/>
              </w:rPr>
              <w:t xml:space="preserve">от стажа работы. Пересматривается в зависимости</w:t>
            </w:r>
          </w:p>
          <w:p>
            <w:pPr>
              <w:jc w:val="left"/>
            </w:pPr>
            <w:r>
              <w:rPr>
                <w:rFonts w:ascii="Arial" w:cs="Arial" w:eastAsia="Arial" w:hAnsi="Arial"/>
                <w:sz w:val="24"/>
                <w:szCs w:val="24"/>
              </w:rPr>
              <w:t xml:space="preserve">от роста</w:t>
            </w:r>
          </w:p>
          <w:p>
            <w:pPr>
              <w:jc w:val="left"/>
            </w:pPr>
            <w:r>
              <w:rPr>
                <w:rFonts w:ascii="Arial" w:cs="Arial" w:eastAsia="Arial" w:hAnsi="Arial"/>
                <w:sz w:val="24"/>
                <w:szCs w:val="24"/>
              </w:rPr>
              <w:t xml:space="preserve">средней заработной</w:t>
            </w:r>
          </w:p>
          <w:p>
            <w:pPr>
              <w:jc w:val="left"/>
            </w:pPr>
            <w:r>
              <w:rPr>
                <w:rFonts w:ascii="Arial" w:cs="Arial" w:eastAsia="Arial" w:hAnsi="Arial"/>
                <w:sz w:val="24"/>
                <w:szCs w:val="24"/>
              </w:rPr>
              <w:t xml:space="preserve">платы</w:t>
            </w:r>
          </w:p>
          <w:p>
            <w:pPr>
              <w:jc w:val="left"/>
            </w:pPr>
            <w:r>
              <w:rPr>
                <w:rFonts w:ascii="Arial" w:cs="Arial" w:eastAsia="Arial" w:hAnsi="Arial"/>
                <w:sz w:val="24"/>
                <w:szCs w:val="24"/>
              </w:rPr>
              <w:t xml:space="preserve">по республике</w:t>
            </w:r>
          </w:p>
        </w:tc>
        <w:tc>
          <w:tcPr>
            <w:tcW w:type="dxa" w:w="2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Дифференциро-ванная величина зависит от объема накопленных пенсионных прав и продолжитель-ности жизни после выхода на пенсию</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Дифференциро-ванная величина зависит от объема накопленных капитализиро-ванных взносов, инвестиционного дохода и выбранного застрахованным лицом периода выплат</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Дифференциро-ванная величина зависит</w:t>
            </w:r>
          </w:p>
          <w:p>
            <w:pPr>
              <w:jc w:val="left"/>
            </w:pPr>
            <w:r>
              <w:rPr>
                <w:rFonts w:ascii="Arial" w:cs="Arial" w:eastAsia="Arial" w:hAnsi="Arial"/>
                <w:sz w:val="24"/>
                <w:szCs w:val="24"/>
              </w:rPr>
              <w:t xml:space="preserve">от выбранной работником схемы пенсионных отчислений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Основой пенсионной системы Кыргызской Республики является обязательное государственное пенсионное страхование, которое представлено в виде условно-накопительной пенсионной системы: учитываются средства граждан, заработанные до введения персонифицированного учета в 1996 году, а также накопленные средства на индивидуальных страховых счетах, после введения  персонифицированного учета, с 1996 года.</w:t>
      </w:r>
    </w:p>
    <w:p>
      <w:pPr>
        <w:spacing w:after="120"/>
        <w:jc w:val="both"/>
      </w:pPr>
      <w:r>
        <w:rPr>
          <w:rFonts w:ascii="Arial" w:cs="Arial" w:eastAsia="Arial" w:hAnsi="Arial"/>
          <w:sz w:val="24"/>
          <w:szCs w:val="24"/>
        </w:rPr>
        <w:t xml:space="preserve">При этом, не все средства, направляемые в Пенсионный фонд, учитываются на личных страховых счетах граждан. В соответствии с Законом Кыргызской Республики «О тарифах страховых взносов по государственному социальному страхованию» 3 % от ставки тарифа страховых взносов в Пенсионный фонд направляются на солидарную часть пенсионной системы. Солидарная часть используется, в основном, на выплату пенсий по инвалидности и по потере кормильца.</w:t>
      </w:r>
    </w:p>
    <w:p>
      <w:pPr>
        <w:spacing w:after="120"/>
        <w:jc w:val="both"/>
      </w:pPr>
      <w:r>
        <w:rPr>
          <w:rFonts w:ascii="Arial" w:cs="Arial" w:eastAsia="Arial" w:hAnsi="Arial"/>
          <w:sz w:val="24"/>
          <w:szCs w:val="24"/>
        </w:rPr>
        <w:t xml:space="preserve">Кроме того, в системе предусматриваются государственные гарантии в виде финансовой поддержки пенсионеров (выплата базовой части пенсии, компенсаций и надбавок к пенсиям), а также различные виды льгот для отдельных категорий граждан за счет средств республиканского бюджета.</w:t>
      </w:r>
    </w:p>
    <w:p>
      <w:pPr>
        <w:spacing w:after="120"/>
        <w:jc w:val="both"/>
      </w:pPr>
      <w:r>
        <w:rPr>
          <w:rFonts w:ascii="Arial" w:cs="Arial" w:eastAsia="Arial" w:hAnsi="Arial"/>
          <w:sz w:val="24"/>
          <w:szCs w:val="24"/>
        </w:rPr>
        <w:t xml:space="preserve">В формировании накопительной части пенсии участвуют работники организованного сектора экономики Кыргызской Республики, за исключением работающих пенсионеров: мужчин, рожденных до 1 января 1964 года, и женщин, рожденных до 1 января 1969 года, поскольку у данных категорий граждан до выхода на пенсию остается недостаточно времени, чтобы сформировать необходимый  уровень накопительной части пенсии в рамках обязательного накопительного компонента.</w:t>
      </w:r>
    </w:p>
    <w:p>
      <w:pPr>
        <w:spacing w:after="120"/>
        <w:jc w:val="both"/>
      </w:pPr>
      <w:r>
        <w:rPr>
          <w:rFonts w:ascii="Arial" w:cs="Arial" w:eastAsia="Arial" w:hAnsi="Arial"/>
          <w:sz w:val="24"/>
          <w:szCs w:val="24"/>
        </w:rPr>
        <w:t xml:space="preserve">Инвестирование пенсионных накоплений регулируется Законом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которым определены правовой статус субъектов и участников отношений по формированию и инвестированию средств пенсионных накоплений, а также основы государственного регулирования, контроля и надзора в сфере инвестирования средств пенсионных накоплений.</w:t>
      </w:r>
    </w:p>
    <w:p>
      <w:pPr>
        <w:spacing w:after="120"/>
        <w:jc w:val="both"/>
      </w:pPr>
      <w:r>
        <w:rPr>
          <w:rFonts w:ascii="Arial" w:cs="Arial" w:eastAsia="Arial" w:hAnsi="Arial"/>
          <w:sz w:val="24"/>
          <w:szCs w:val="24"/>
        </w:rPr>
        <w:t xml:space="preserve">При формировании и инвестировании средств пенсионных накоплений, предназначенных для финансирования накопительной части пенсии по государственному социальному страхованию, застрахованные лица имеют право выбирать только один накопительный пенсионный фонд, управляющую компанию накопительного пенсионного фонда, а также переводить свои пенсионные накопления из одного накопительного пенсионного фонда в другой.</w:t>
      </w:r>
    </w:p>
    <w:p>
      <w:pPr>
        <w:spacing w:after="120"/>
        <w:jc w:val="both"/>
      </w:pPr>
      <w:r>
        <w:rPr>
          <w:rFonts w:ascii="Arial" w:cs="Arial" w:eastAsia="Arial" w:hAnsi="Arial"/>
          <w:sz w:val="24"/>
          <w:szCs w:val="24"/>
        </w:rPr>
        <w:t xml:space="preserve">На начальном этапе доверительное управление средствами накопительного компонента осуществляется Социальным фондом Кыргызской Республики (далее - Социальный фонд), который инвестирует пенсионные накопления в государственные ценные бумаги Кыргызской Республики - не более 70 %, на срочные депозиты кредитных организаций - не более 25 % и в облигации с залоговым обеспечением, в том числе обеспеченные жилищные сертификаты, выпущенные эмитентами Кыргызской Республики в соответствии с законодательством Кыргызской Республики, прошедшие листинг на фондовых биржах одной из двух наивысших категорий, в размере не более 20 % стоимости пенсионных накоплений.</w:t>
      </w:r>
    </w:p>
    <w:p>
      <w:pPr>
        <w:spacing w:after="120"/>
        <w:jc w:val="both"/>
      </w:pPr>
      <w:r>
        <w:rPr>
          <w:rFonts w:ascii="Arial" w:cs="Arial" w:eastAsia="Arial" w:hAnsi="Arial"/>
          <w:sz w:val="24"/>
          <w:szCs w:val="24"/>
        </w:rPr>
        <w:t xml:space="preserve">Личные добровольные схемы в условиях современного этапа реформирования мировых пенсионных систем вводились как новый элемент пенсионных систем. Обязательные пенсионные накопления направлены на создание некоторого минимума накоплений для каждого работника.</w:t>
      </w:r>
    </w:p>
    <w:p>
      <w:pPr>
        <w:spacing w:after="120"/>
        <w:jc w:val="both"/>
      </w:pPr>
      <w:r>
        <w:rPr>
          <w:rFonts w:ascii="Arial" w:cs="Arial" w:eastAsia="Arial" w:hAnsi="Arial"/>
          <w:sz w:val="24"/>
          <w:szCs w:val="24"/>
        </w:rPr>
        <w:t xml:space="preserve">Роль добровольного пенсионного страхования заключается в обеспечении достойного замещения трудовых доходов для людей с более высоким уровнем дохода, особенно для самозанятых граждан. Добровольное пенсионное страхование представляет собой систему накопления будущих пенсий, а также является фактором, который может обеспечить устойчивость пенсионной системы на долгосрочную перспективу.</w:t>
      </w:r>
    </w:p>
    <w:p>
      <w:pPr>
        <w:spacing w:after="120"/>
        <w:jc w:val="both"/>
      </w:pPr>
      <w:r>
        <w:rPr>
          <w:rFonts w:ascii="Arial" w:cs="Arial" w:eastAsia="Arial" w:hAnsi="Arial"/>
          <w:sz w:val="24"/>
          <w:szCs w:val="24"/>
        </w:rPr>
        <w:t xml:space="preserve">Создание соответствующих стимулов к формированию добровольных накоплений должно учитывать и предупреждать риски использования данных взносов для уклонения от налогообложения, как со стороны работника, так и работодателя. Добровольные личные схемы работают в условиях полного финансирования с установленными взносами. Участники самостоятельно несут все инвестиционные риски по своим накоплениям.</w:t>
      </w:r>
    </w:p>
    <w:p>
      <w:pPr>
        <w:spacing w:after="120"/>
        <w:jc w:val="both"/>
      </w:pPr>
      <w:r>
        <w:rPr>
          <w:rFonts w:ascii="Arial" w:cs="Arial" w:eastAsia="Arial" w:hAnsi="Arial"/>
          <w:sz w:val="24"/>
          <w:szCs w:val="24"/>
        </w:rPr>
        <w:t xml:space="preserve">Основная роль в добровольном пенсионном страховании принадлежит негосударственным пенсионным фондам. В настоящее время в республике действует всего один негосударственный пенсионный фонд «Кыргызстан». Основные причины слабого развития частного пенсионного страхования - это низкие доходы населения, недоверие к частным финансовым организациям, неразвитость финансового рынка.</w:t>
      </w:r>
    </w:p>
    <w:p>
      <w:pPr>
        <w:spacing w:after="120"/>
        <w:jc w:val="both"/>
      </w:pPr>
      <w:r>
        <w:rPr>
          <w:rFonts w:ascii="Arial" w:cs="Arial" w:eastAsia="Arial" w:hAnsi="Arial"/>
          <w:sz w:val="24"/>
          <w:szCs w:val="24"/>
        </w:rPr>
        <w:t xml:space="preserve">В сфере пенсионного обеспечения достигнуты следующие результаты:</w:t>
      </w:r>
    </w:p>
    <w:p>
      <w:pPr>
        <w:spacing w:after="120"/>
        <w:jc w:val="both"/>
      </w:pPr>
      <w:r>
        <w:rPr>
          <w:rFonts w:ascii="Arial" w:cs="Arial" w:eastAsia="Arial" w:hAnsi="Arial"/>
          <w:sz w:val="24"/>
          <w:szCs w:val="24"/>
        </w:rPr>
        <w:t xml:space="preserve">1) определены обязательства иностранных граждан в системе государственного социального страхования. Так, иностранные граждане, постоянно проживающие в республике, участвуют в системе государственного социального страхования в обязательном порядке. За работников - иностранных граждан, временно пребывающих в Кыргызской Республике, работодателем уплачивается 3 % в солидарную часть Пенсионного фонда, для иностранных граждан, занятых индивидуальной предпринимательской деятельностью на рынках, взносы установлены в размере 30 % от стоимости патента;</w:t>
      </w:r>
    </w:p>
    <w:p>
      <w:pPr>
        <w:spacing w:after="120"/>
        <w:jc w:val="both"/>
      </w:pPr>
      <w:r>
        <w:rPr>
          <w:rFonts w:ascii="Arial" w:cs="Arial" w:eastAsia="Arial" w:hAnsi="Arial"/>
          <w:sz w:val="24"/>
          <w:szCs w:val="24"/>
        </w:rPr>
        <w:t xml:space="preserve">2) значительно снижены ставки тарифов страховых взносов. Так, с 1999 по 2010 годы указанные тарифы были снижены с 39 % до 27,25 %, т.е. на 11,75 %, при этом ставки тарифов страховых взносов, уплачиваемых работодателем, снижены с 33 % до 17,25 %, т.е. на 15,75 %;</w:t>
      </w:r>
    </w:p>
    <w:p>
      <w:pPr>
        <w:spacing w:after="120"/>
        <w:jc w:val="both"/>
      </w:pPr>
      <w:r>
        <w:rPr>
          <w:rFonts w:ascii="Arial" w:cs="Arial" w:eastAsia="Arial" w:hAnsi="Arial"/>
          <w:sz w:val="24"/>
          <w:szCs w:val="24"/>
        </w:rPr>
        <w:t xml:space="preserve">3) в 2009 году в целях обеспечения защиты интересов пенсионеров введена норма по индексации страховых частей пенсии. Условием проведения индексации страховых частей пенсии является рост величины средней заработной платы и индекса потребительских цен;</w:t>
      </w:r>
    </w:p>
    <w:p>
      <w:pPr>
        <w:spacing w:after="120"/>
        <w:jc w:val="both"/>
      </w:pPr>
      <w:r>
        <w:rPr>
          <w:rFonts w:ascii="Arial" w:cs="Arial" w:eastAsia="Arial" w:hAnsi="Arial"/>
          <w:sz w:val="24"/>
          <w:szCs w:val="24"/>
        </w:rPr>
        <w:t xml:space="preserve">4) внедрены в практику деятельности Социального фонда размещение временно свободных средств на депозитах в банках и осуществление операций с государственными ценными бумагами;</w:t>
      </w:r>
    </w:p>
    <w:p>
      <w:pPr>
        <w:spacing w:after="120"/>
        <w:jc w:val="both"/>
      </w:pPr>
      <w:r>
        <w:rPr>
          <w:rFonts w:ascii="Arial" w:cs="Arial" w:eastAsia="Arial" w:hAnsi="Arial"/>
          <w:sz w:val="24"/>
          <w:szCs w:val="24"/>
        </w:rPr>
        <w:t xml:space="preserve">5) создан резервный фонд для обеспечения финансовой устойчивости пенсионной системы;</w:t>
      </w:r>
    </w:p>
    <w:p>
      <w:pPr>
        <w:spacing w:after="120"/>
        <w:jc w:val="both"/>
      </w:pPr>
      <w:r>
        <w:rPr>
          <w:rFonts w:ascii="Arial" w:cs="Arial" w:eastAsia="Arial" w:hAnsi="Arial"/>
          <w:sz w:val="24"/>
          <w:szCs w:val="24"/>
        </w:rPr>
        <w:t xml:space="preserve">6) внедрен механизм пенсионных выплат безналичным переводом на персональные пенсионные счета в коммерческих банках.</w:t>
      </w:r>
    </w:p>
    <w:p>
      <w:pPr>
        <w:spacing w:after="120"/>
        <w:jc w:val="both"/>
      </w:pPr>
      <w:r>
        <w:rPr>
          <w:rFonts w:ascii="Arial" w:cs="Arial" w:eastAsia="Arial" w:hAnsi="Arial"/>
          <w:sz w:val="24"/>
          <w:szCs w:val="24"/>
        </w:rPr>
        <w:t xml:space="preserve">В соответствии с законодательством Кыргызской Республики в сфере пенсионного обеспечения право на пенсию имеют граждане Кыргызской Республики, иностранные граждане и лица без гражданства, проживающие в республике и уплачивающие страховые взносы.</w:t>
      </w:r>
    </w:p>
    <w:p>
      <w:pPr>
        <w:spacing w:after="120"/>
        <w:jc w:val="both"/>
      </w:pPr>
      <w:r>
        <w:rPr>
          <w:rFonts w:ascii="Arial" w:cs="Arial" w:eastAsia="Arial" w:hAnsi="Arial"/>
          <w:sz w:val="24"/>
          <w:szCs w:val="24"/>
        </w:rPr>
        <w:t xml:space="preserve">Назначаются следующие виды пенсий:</w:t>
      </w:r>
    </w:p>
    <w:p>
      <w:pPr>
        <w:spacing w:after="120"/>
        <w:jc w:val="both"/>
      </w:pPr>
      <w:r>
        <w:rPr>
          <w:rFonts w:ascii="Arial" w:cs="Arial" w:eastAsia="Arial" w:hAnsi="Arial"/>
          <w:sz w:val="24"/>
          <w:szCs w:val="24"/>
        </w:rPr>
        <w:t xml:space="preserve">- по возрасту;</w:t>
      </w:r>
    </w:p>
    <w:p>
      <w:pPr>
        <w:spacing w:after="120"/>
        <w:jc w:val="both"/>
      </w:pPr>
      <w:r>
        <w:rPr>
          <w:rFonts w:ascii="Arial" w:cs="Arial" w:eastAsia="Arial" w:hAnsi="Arial"/>
          <w:sz w:val="24"/>
          <w:szCs w:val="24"/>
        </w:rPr>
        <w:t xml:space="preserve">- по инвалидности;</w:t>
      </w:r>
    </w:p>
    <w:p>
      <w:pPr>
        <w:spacing w:after="120"/>
        <w:jc w:val="both"/>
      </w:pPr>
      <w:r>
        <w:rPr>
          <w:rFonts w:ascii="Arial" w:cs="Arial" w:eastAsia="Arial" w:hAnsi="Arial"/>
          <w:sz w:val="24"/>
          <w:szCs w:val="24"/>
        </w:rPr>
        <w:t xml:space="preserve">- по случаю потери кормильца.</w:t>
      </w:r>
    </w:p>
    <w:p>
      <w:pPr>
        <w:spacing w:after="120"/>
        <w:jc w:val="both"/>
      </w:pPr>
      <w:r>
        <w:rPr>
          <w:rFonts w:ascii="Arial" w:cs="Arial" w:eastAsia="Arial" w:hAnsi="Arial"/>
          <w:sz w:val="24"/>
          <w:szCs w:val="24"/>
        </w:rPr>
        <w:t xml:space="preserve">Общая пенсия, выплачиваемая из средств государственного пенсионного социального страхования, состоит из солидарной (базовой и страховых частей пенсии) и накопительной частей, кроме пенсии по случаю потери кормильца, которая состоит из базовой и страховых частей пенсий.</w:t>
      </w:r>
    </w:p>
    <w:p>
      <w:pPr>
        <w:spacing w:after="120"/>
        <w:jc w:val="both"/>
      </w:pPr>
      <w:r>
        <w:rPr>
          <w:rFonts w:ascii="Arial" w:cs="Arial" w:eastAsia="Arial" w:hAnsi="Arial"/>
          <w:sz w:val="24"/>
          <w:szCs w:val="24"/>
        </w:rPr>
        <w:t xml:space="preserve">Базовая часть пенсии - гарантированная государством часть пенсии лицам, имеющим установленный пенсионным законодательством стаж работы (для мужчин – 25 лет, для женщин – 20 лет). Базовая часть пенсии индексируется с ростом заработной платы.</w:t>
      </w:r>
    </w:p>
    <w:p>
      <w:pPr>
        <w:spacing w:after="120"/>
        <w:jc w:val="both"/>
      </w:pPr>
      <w:r>
        <w:rPr>
          <w:rFonts w:ascii="Arial" w:cs="Arial" w:eastAsia="Arial" w:hAnsi="Arial"/>
          <w:sz w:val="24"/>
          <w:szCs w:val="24"/>
        </w:rPr>
        <w:t xml:space="preserve">Страховая часть пенсии - часть пенсии, устанавливаемая с учетом страхового стажа, среднемесячной заработной платы и накопленных страховых взносов. Законодательством предусмотрена индексация страховых частей пенсии. Условиями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 Однако, как показывает опыт предыдущих лет, индексация размера страховых частей пенсии производится в зависимости от финансовых возможностей Социального фонда.</w:t>
      </w:r>
    </w:p>
    <w:p>
      <w:pPr>
        <w:spacing w:after="120"/>
        <w:jc w:val="both"/>
      </w:pPr>
      <w:r>
        <w:rPr>
          <w:rFonts w:ascii="Arial" w:cs="Arial" w:eastAsia="Arial" w:hAnsi="Arial"/>
          <w:sz w:val="24"/>
          <w:szCs w:val="24"/>
        </w:rPr>
        <w:t xml:space="preserve">Накопительная часть пенсии - часть пенсии, устанавливаемая застрахованному лицу от суммы пенсионных накоплений, учтенных в накопительной части личного страхового счета.</w:t>
      </w:r>
    </w:p>
    <w:p>
      <w:pPr>
        <w:spacing w:after="120"/>
        <w:jc w:val="both"/>
      </w:pPr>
      <w:r>
        <w:rPr>
          <w:rFonts w:ascii="Arial" w:cs="Arial" w:eastAsia="Arial" w:hAnsi="Arial"/>
          <w:sz w:val="24"/>
          <w:szCs w:val="24"/>
        </w:rPr>
        <w:t xml:space="preserve">Доходы Пенсионного фонда состоят из страховых взносов работающих граждан и ассигнований из республиканского бюджета на базовую часть пенсии, льготные пенсии, надбавки к пенсиям отдельных категорий пенсионеров, пенсии военнослужащим.</w:t>
      </w:r>
    </w:p>
    <w:p>
      <w:pPr>
        <w:spacing w:after="120"/>
        <w:jc w:val="both"/>
      </w:pPr>
      <w:r>
        <w:rPr>
          <w:rFonts w:ascii="Arial" w:cs="Arial" w:eastAsia="Arial" w:hAnsi="Arial"/>
          <w:sz w:val="24"/>
          <w:szCs w:val="24"/>
        </w:rPr>
        <w:t xml:space="preserve">Около 60 % доходов Пенсионного фонда составляют страховые взносы по государственному социальному страхованию. Ставки тарифов страховых взносов в Пенсионный фонд варьируют в зависимости от организационно-правовой формы и вида деятельности страхователей.</w:t>
      </w:r>
    </w:p>
    <w:p>
      <w:pPr>
        <w:spacing w:after="120"/>
        <w:jc w:val="both"/>
      </w:pPr>
      <w:r>
        <w:rPr>
          <w:rFonts w:ascii="Arial" w:cs="Arial" w:eastAsia="Arial" w:hAnsi="Arial"/>
          <w:sz w:val="24"/>
          <w:szCs w:val="24"/>
        </w:rPr>
        <w:t xml:space="preserve">Средний размер пенсии, по состоянию на 1 января 2014 года, составил 4432 сома, что по отношению к прожиточному минимуму пенсионера (4097 сомов) составляет 108,2 %. В 2008 году соотношение среднего размера пенсии к прожиточному минимуму пенсионера составляло около 45,7 %.</w:t>
      </w:r>
    </w:p>
    <w:p>
      <w:pPr>
        <w:spacing w:after="120"/>
        <w:jc w:val="both"/>
      </w:pPr>
      <w:r>
        <w:rPr>
          <w:rFonts w:ascii="Arial" w:cs="Arial" w:eastAsia="Arial" w:hAnsi="Arial"/>
          <w:sz w:val="24"/>
          <w:szCs w:val="24"/>
        </w:rPr>
        <w:t xml:space="preserve">По состоянию на 1 января 2014 года, 336,9 тыс. пенсионеров или 58 % от их общей численности (580,8 тыс. человек) имеют пенсию, не достигающую прожиточного минимума пенсионера. Коэффициент замещения среднего размера пенсии по республике к среднемесячной заработной плате составил около 38,8%.</w:t>
      </w:r>
    </w:p>
    <w:p>
      <w:pPr>
        <w:spacing w:after="120"/>
        <w:jc w:val="both"/>
      </w:pPr>
      <w:r>
        <w:rPr>
          <w:rFonts w:ascii="Arial" w:cs="Arial" w:eastAsia="Arial" w:hAnsi="Arial"/>
          <w:sz w:val="24"/>
          <w:szCs w:val="24"/>
        </w:rPr>
        <w:t xml:space="preserve">Из общей численности получателей пенсий, пенсии по возрасту получают 429,2 тыс. человек (74 %), пенсии по инвалидности - 102,8 тыс. человек (17,7 %), пенсии по случаю потери кормильца - 47,2 тыс. человек (8,1%), пенсионеры-военнослужащие и их семьи – 1,6 тыс. человек.</w:t>
      </w:r>
    </w:p>
    <w:p>
      <w:pPr>
        <w:spacing w:after="120"/>
        <w:jc w:val="both"/>
      </w:pPr>
      <w:r>
        <w:rPr>
          <w:rFonts w:ascii="Arial" w:cs="Arial" w:eastAsia="Arial" w:hAnsi="Arial"/>
          <w:sz w:val="24"/>
          <w:szCs w:val="24"/>
        </w:rPr>
        <w:t xml:space="preserve">В 2008 году установлен гибкий режим возраста выхода на пенсию. При этом, требуемый страховой стаж, дающий право на досрочную пенсию для мужчин, составил 40 лет (при общих условиях - 25 лет), для женщин - 35 лет (при общих условиях - 20 лет).</w:t>
      </w:r>
    </w:p>
    <w:p>
      <w:pPr>
        <w:spacing w:after="120"/>
        <w:jc w:val="both"/>
      </w:pPr>
      <w:r>
        <w:rPr>
          <w:rFonts w:ascii="Arial" w:cs="Arial" w:eastAsia="Arial" w:hAnsi="Arial"/>
          <w:sz w:val="24"/>
          <w:szCs w:val="24"/>
        </w:rPr>
        <w:t xml:space="preserve">Для мужчин, имеющих стаж работы 35 лет, женщин - 30 лет, пенсия устанавливается со снижением ее размера. При этом, досрочная пенсия по возрасту исчисляется с уменьшением размера пенсии на 1,5 % за каждый месяц, недостающий до общеустановленного пенсионного возраста.</w:t>
      </w:r>
    </w:p>
    <w:p>
      <w:pPr>
        <w:spacing w:after="120"/>
        <w:jc w:val="both"/>
      </w:pPr>
      <w:r>
        <w:rPr>
          <w:rFonts w:ascii="Arial" w:cs="Arial" w:eastAsia="Arial" w:hAnsi="Arial"/>
          <w:sz w:val="24"/>
          <w:szCs w:val="24"/>
        </w:rPr>
        <w:t xml:space="preserve">С 1996 года по настоящее время численность пенсионеров по инвалидности увеличилась более чем в 2 раза и составила 102,8 тыс. человек. Только за период 2010-2012 годов назначено пенсий по инвалидности 13,8 тыс. или в 3 раза больше, чем в 1996 году, и в 2,5 раза больше, чем в 2000 году. За этот период их доля в общей численности пенсионеров составила 17,7 % против 9 % в 1996 году.</w:t>
      </w:r>
    </w:p>
    <w:p>
      <w:pPr>
        <w:spacing w:after="120"/>
        <w:jc w:val="both"/>
      </w:pPr>
      <w:r>
        <w:rPr>
          <w:rFonts w:ascii="Arial" w:cs="Arial" w:eastAsia="Arial" w:hAnsi="Arial"/>
          <w:sz w:val="24"/>
          <w:szCs w:val="24"/>
        </w:rPr>
        <w:t xml:space="preserve">Ежемесячные выплаты сумм, учтенных на личных страховых счетах, рассчитываются исходя из средней продолжительности жизни пенсионеров. Так, вторая страховая часть пенсии рассчитывается от суммы страховых взносов за весь период уплаты, умноженной на актуарный коэффициент. Актуарный коэффициент представляет собой инструмент, определяющий процент пенсионных выплат с учетом средней продолжительности жизни пенсионера после назначения пенсии.</w:t>
      </w:r>
    </w:p>
    <w:p>
      <w:pPr>
        <w:spacing w:after="120"/>
        <w:jc w:val="both"/>
      </w:pPr>
      <w:r>
        <w:rPr>
          <w:rFonts w:ascii="Arial" w:cs="Arial" w:eastAsia="Arial" w:hAnsi="Arial"/>
          <w:sz w:val="24"/>
          <w:szCs w:val="24"/>
        </w:rPr>
        <w:t xml:space="preserve">Законодательством Кыргызской Республики предусмотрено право выхода на пенсию по возрасту в различных возрастах, поэтому актуарный коэффициент отличается в зависимости от возраста выхода на пенсию. Так, для лиц, выходящих на пенсию в более раннем возрасте, актуарный коэффициент меньше, поскольку пенсионные взносы должны быть распределены на больший период, чем при выходе на пенсию в более позднем возрасте. Это связано с различной продолжительностью жизни после определенного возраста.</w:t>
      </w:r>
    </w:p>
    <w:p>
      <w:pPr>
        <w:spacing w:after="120"/>
        <w:jc w:val="both"/>
      </w:pPr>
      <w:r>
        <w:rPr>
          <w:rFonts w:ascii="Arial" w:cs="Arial" w:eastAsia="Arial" w:hAnsi="Arial"/>
          <w:sz w:val="24"/>
          <w:szCs w:val="24"/>
        </w:rPr>
        <w:t xml:space="preserve">В Кыргызской Республике, по официальным статистическим данным за 2013 год, продолжительность жизни мужчин составляет 66,3 года, женщин – 74,3 года.</w:t>
      </w:r>
    </w:p>
    <w:p>
      <w:pPr>
        <w:spacing w:after="120"/>
        <w:jc w:val="both"/>
      </w:pPr>
      <w:r>
        <w:rPr>
          <w:rFonts w:ascii="Arial" w:cs="Arial" w:eastAsia="Arial" w:hAnsi="Arial"/>
          <w:sz w:val="24"/>
          <w:szCs w:val="24"/>
        </w:rPr>
        <w:t xml:space="preserve">После выхода на пенсию не все пенсионеры доживают до вышеуказанного возраста. Количество пенсионеров, возраст которых свыше 80 лет, составляет 33,4 тыс. человек, в этом случае работает принцип солидарности, т.е. именно им производится выплата пенсий из солидарной части Пенсионного фонда, так как накопленная пенсионерами страховая часть пенсии израсходована.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2.</w:t>
      </w:r>
      <w:r>
        <w:rPr>
          <w:rFonts w:ascii="Arial" w:cs="Arial" w:eastAsia="Arial" w:hAnsi="Arial"/>
          <w:sz w:val="24"/>
          <w:szCs w:val="24"/>
        </w:rPr>
        <w:t xml:space="preserve"> </w:t>
      </w:r>
      <w:r>
        <w:rPr>
          <w:rFonts w:ascii="Arial" w:cs="Arial" w:eastAsia="Arial" w:hAnsi="Arial"/>
          <w:b w:val="false"/>
          <w:bCs w:val="false"/>
          <w:i/>
          <w:iCs/>
          <w:sz w:val="24"/>
          <w:szCs w:val="24"/>
        </w:rPr>
        <w:t xml:space="preserve">(Утратил силу в соответствии с </w:t>
      </w:r>
      <w:hyperlink w:history="1" r:id="rIdswy8b01g-bdl8n8-0bsnz">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3.</w:t>
      </w:r>
      <w:r>
        <w:rPr>
          <w:rFonts w:ascii="Arial" w:cs="Arial" w:eastAsia="Arial" w:hAnsi="Arial"/>
          <w:b w:val="false"/>
          <w:bCs w:val="false"/>
          <w:i/>
          <w:iCs/>
          <w:sz w:val="24"/>
          <w:szCs w:val="24"/>
        </w:rPr>
        <w:t xml:space="preserve">(Утратил силу в соответствии с </w:t>
      </w:r>
      <w:hyperlink w:history="1" r:id="rId8hxx07rxlfbowijd39ap9">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мероприятий Концепции позволит достичь следующих результатов:</w:t>
      </w:r>
    </w:p>
    <w:p>
      <w:pPr>
        <w:spacing w:after="120"/>
        <w:jc w:val="both"/>
      </w:pPr>
      <w:r>
        <w:rPr>
          <w:rFonts w:ascii="Arial" w:cs="Arial" w:eastAsia="Arial" w:hAnsi="Arial"/>
          <w:sz w:val="24"/>
          <w:szCs w:val="24"/>
        </w:rPr>
        <w:t xml:space="preserve">- усиление страховых принципов в пенсионном обеспечении, установление взаимосвязи между размером пенсии и прошлыми заработками пенсионеров, а также суммой страховых взносов, уплаченных ими в Пенсионный фонд;</w:t>
      </w:r>
    </w:p>
    <w:p>
      <w:pPr>
        <w:spacing w:after="120"/>
        <w:jc w:val="both"/>
      </w:pPr>
      <w:r>
        <w:rPr>
          <w:rFonts w:ascii="Arial" w:cs="Arial" w:eastAsia="Arial" w:hAnsi="Arial"/>
          <w:sz w:val="24"/>
          <w:szCs w:val="24"/>
        </w:rPr>
        <w:t xml:space="preserve">- повышение размера пенсий путем разработки оптимального механизма индексации пенсий, с учетом темпов роста цен и среднемесячной заработной платы;</w:t>
      </w:r>
    </w:p>
    <w:p>
      <w:pPr>
        <w:spacing w:after="120"/>
        <w:jc w:val="both"/>
      </w:pPr>
      <w:r>
        <w:rPr>
          <w:rFonts w:ascii="Arial" w:cs="Arial" w:eastAsia="Arial" w:hAnsi="Arial"/>
          <w:sz w:val="24"/>
          <w:szCs w:val="24"/>
        </w:rPr>
        <w:t xml:space="preserve">- обеспечение финансовой устойчивости и сбалансированности пенсионной системы за счет реформирования системы пенсионного обеспечения сельских товаропроизводителей и самозанятых граждан, а также оптимизации системы льготного пенсионного обеспечения и государственных социальных гарантий;</w:t>
      </w:r>
    </w:p>
    <w:p>
      <w:pPr>
        <w:spacing w:after="120"/>
        <w:jc w:val="both"/>
      </w:pPr>
      <w:r>
        <w:rPr>
          <w:rFonts w:ascii="Arial" w:cs="Arial" w:eastAsia="Arial" w:hAnsi="Arial"/>
          <w:sz w:val="24"/>
          <w:szCs w:val="24"/>
        </w:rPr>
        <w:t xml:space="preserve">- обеспечение прозрачности пенсионной системы путем определения правового статуса ее основных участников;</w:t>
      </w:r>
    </w:p>
    <w:p>
      <w:pPr>
        <w:spacing w:after="120"/>
        <w:jc w:val="both"/>
      </w:pPr>
      <w:r>
        <w:rPr>
          <w:rFonts w:ascii="Arial" w:cs="Arial" w:eastAsia="Arial" w:hAnsi="Arial"/>
          <w:sz w:val="24"/>
          <w:szCs w:val="24"/>
        </w:rPr>
        <w:t xml:space="preserve">- развитие конкуренции на рынке обязательных пенсионных накоплений;</w:t>
      </w:r>
    </w:p>
    <w:p>
      <w:pPr>
        <w:spacing w:after="120"/>
        <w:jc w:val="both"/>
      </w:pPr>
      <w:r>
        <w:rPr>
          <w:rFonts w:ascii="Arial" w:cs="Arial" w:eastAsia="Arial" w:hAnsi="Arial"/>
          <w:sz w:val="24"/>
          <w:szCs w:val="24"/>
        </w:rPr>
        <w:t xml:space="preserve">- создание устойчивых институциональных механизмов поддержки и реализации программ повышения уровня пенсионной грамотности населения;</w:t>
      </w:r>
    </w:p>
    <w:p>
      <w:pPr>
        <w:spacing w:after="120"/>
        <w:jc w:val="both"/>
      </w:pPr>
      <w:r>
        <w:rPr>
          <w:rFonts w:ascii="Arial" w:cs="Arial" w:eastAsia="Arial" w:hAnsi="Arial"/>
          <w:sz w:val="24"/>
          <w:szCs w:val="24"/>
        </w:rPr>
        <w:t xml:space="preserve">- развитие информационных систем пенсионного обеспечения и механизмов защиты прав застрахованных граждан и пенсионеров.</w:t>
      </w:r>
    </w:p>
    <w:p>
      <w:pPr>
        <w:spacing w:after="120"/>
        <w:jc w:val="both"/>
      </w:pPr>
      <w:r>
        <w:rPr>
          <w:rFonts w:ascii="Arial" w:cs="Arial" w:eastAsia="Arial" w:hAnsi="Arial"/>
          <w:sz w:val="24"/>
          <w:szCs w:val="24"/>
        </w:rPr>
        <w:t xml:space="preserve">В качестве целевых ориентиров развития обязательного и добровольного накопительных компонентов пенсионной системы предусматриваются следующие результаты:</w:t>
      </w:r>
    </w:p>
    <w:p>
      <w:pPr>
        <w:spacing w:after="120"/>
        <w:jc w:val="both"/>
      </w:pPr>
      <w:r>
        <w:rPr>
          <w:rFonts w:ascii="Arial" w:cs="Arial" w:eastAsia="Arial" w:hAnsi="Arial"/>
          <w:sz w:val="24"/>
          <w:szCs w:val="24"/>
        </w:rPr>
        <w:t xml:space="preserve">- для застрахованных лиц с невысоким и средним уровнем заработка - создание необходимых условий для получения выплат за счет обязательных и добровольных пенсионных накоплений, в совокупности с пенсией по возрасту на уровне 40-45 % утраченного заработка в реальном выражении за 30 лет уплаты страховых взносов и взносов на формирование пенсионных накоплений;</w:t>
      </w:r>
    </w:p>
    <w:p>
      <w:pPr>
        <w:spacing w:after="120"/>
        <w:jc w:val="both"/>
      </w:pPr>
      <w:r>
        <w:rPr>
          <w:rFonts w:ascii="Arial" w:cs="Arial" w:eastAsia="Arial" w:hAnsi="Arial"/>
          <w:sz w:val="24"/>
          <w:szCs w:val="24"/>
        </w:rPr>
        <w:t xml:space="preserve">- для застрахованных лиц с высоким уровнем заработка - создание необходимых условий для получения выплат за счет добровольных пенсионных накоплений на уровне 10-15 % утраченного сверх указанного предела заработка за 30 лет уплаты взносов на формирование пенсионных накоплений;</w:t>
      </w:r>
    </w:p>
    <w:p>
      <w:pPr>
        <w:spacing w:after="120"/>
        <w:jc w:val="both"/>
      </w:pPr>
      <w:r>
        <w:rPr>
          <w:rFonts w:ascii="Arial" w:cs="Arial" w:eastAsia="Arial" w:hAnsi="Arial"/>
          <w:sz w:val="24"/>
          <w:szCs w:val="24"/>
        </w:rPr>
        <w:t xml:space="preserve">- для самозанятых лиц - создание необходимых условий для получения выплат за счет пенсионных взносов на уровне прожиточного минимума пенсионера за 30 лет уплаты взносов на формирование пенсионных накоплений;</w:t>
      </w:r>
    </w:p>
    <w:p>
      <w:pPr>
        <w:spacing w:after="120"/>
        <w:jc w:val="both"/>
      </w:pPr>
      <w:r>
        <w:rPr>
          <w:rFonts w:ascii="Arial" w:cs="Arial" w:eastAsia="Arial" w:hAnsi="Arial"/>
          <w:sz w:val="24"/>
          <w:szCs w:val="24"/>
        </w:rPr>
        <w:t xml:space="preserve">- рост инвестирования средств пенсионных накоплений в негосударственных пенсионных фондах.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Возможные риски и угрозы при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мер Концепции требует развития социального страхования и социальной поддержки населения, повышения ответственности общества за пенсионное обеспечение. Меры, обеспечивающие решение вышеуказанных задач, должны быть направлены на координацию деятельности государственных органов, работодателей и работников в вопросах повышения уровня и качества жизни граждан на пенсии.</w:t>
      </w:r>
    </w:p>
    <w:p>
      <w:pPr>
        <w:spacing w:after="120"/>
        <w:jc w:val="both"/>
      </w:pPr>
      <w:r>
        <w:rPr>
          <w:rFonts w:ascii="Arial" w:cs="Arial" w:eastAsia="Arial" w:hAnsi="Arial"/>
          <w:sz w:val="24"/>
          <w:szCs w:val="24"/>
        </w:rPr>
        <w:t xml:space="preserve">Основным позитивным фактором реализации данной Концепции является понимание важности и необходимости дальнейшего развития системы социального страхования. Необходимость проведения реформ в пенсионной сфере признается государственными органами, бизнес-сообществом, гражданами - получателями пенсий.</w:t>
      </w:r>
    </w:p>
    <w:p>
      <w:pPr>
        <w:spacing w:after="120"/>
        <w:jc w:val="both"/>
      </w:pPr>
      <w:r>
        <w:rPr>
          <w:rFonts w:ascii="Arial" w:cs="Arial" w:eastAsia="Arial" w:hAnsi="Arial"/>
          <w:sz w:val="24"/>
          <w:szCs w:val="24"/>
        </w:rPr>
        <w:t xml:space="preserve">Отрицательными факторами реализации Концепции могут быть несовершенство системы оплаты труда, рост теневого сектора экономики, рост численности граждан, занятых в неформальном секторе.</w:t>
      </w:r>
    </w:p>
    <w:p>
      <w:pPr>
        <w:spacing w:after="120"/>
        <w:jc w:val="both"/>
      </w:pPr>
      <w:r>
        <w:rPr>
          <w:rFonts w:ascii="Arial" w:cs="Arial" w:eastAsia="Arial" w:hAnsi="Arial"/>
          <w:sz w:val="24"/>
          <w:szCs w:val="24"/>
        </w:rPr>
        <w:t xml:space="preserve">При реализации Концепции существуют также риски демографического (снижение рождаемости, рост внешней трудовой миграции), организационно-правового (коллизии и пробелы в законодательстве), информационного (информационная безопасность, нарушение информационных технологий), персонального (недостаточный уровень квалификации и профессиональной подготовки кадров, коррупция) характера, а также риски форс-мажорных обстоятельств (стихийные бедствия).</w:t>
      </w:r>
    </w:p>
    <w:p>
      <w:pPr>
        <w:spacing w:after="120"/>
        <w:jc w:val="both"/>
      </w:pPr>
      <w:r>
        <w:rPr>
          <w:rFonts w:ascii="Arial" w:cs="Arial" w:eastAsia="Arial" w:hAnsi="Arial"/>
          <w:sz w:val="24"/>
          <w:szCs w:val="24"/>
        </w:rPr>
        <w:t xml:space="preserve">Определены следующие возможные пути минимизации указанных рисков:</w:t>
      </w:r>
    </w:p>
    <w:p>
      <w:pPr>
        <w:spacing w:after="120"/>
        <w:jc w:val="both"/>
      </w:pPr>
      <w:r>
        <w:rPr>
          <w:rFonts w:ascii="Arial" w:cs="Arial" w:eastAsia="Arial" w:hAnsi="Arial"/>
          <w:sz w:val="24"/>
          <w:szCs w:val="24"/>
        </w:rPr>
        <w:t xml:space="preserve">- реализация эффективных государственных программ по стимулированию рождаемости и занятости населения, сохранение гарантий для многодетных матерей, реализация мер по увеличению охвата трудовых мигрантов пенсионным страхованием;</w:t>
      </w:r>
    </w:p>
    <w:p>
      <w:pPr>
        <w:spacing w:after="120"/>
        <w:jc w:val="both"/>
      </w:pPr>
      <w:r>
        <w:rPr>
          <w:rFonts w:ascii="Arial" w:cs="Arial" w:eastAsia="Arial" w:hAnsi="Arial"/>
          <w:sz w:val="24"/>
          <w:szCs w:val="24"/>
        </w:rPr>
        <w:t xml:space="preserve">- обеспечение прозрачности принимаемых решений через реализацию долгосрочной и последовательной социально-экономической программы государства;</w:t>
      </w:r>
    </w:p>
    <w:p>
      <w:pPr>
        <w:spacing w:after="120"/>
        <w:jc w:val="both"/>
      </w:pPr>
      <w:r>
        <w:rPr>
          <w:rFonts w:ascii="Arial" w:cs="Arial" w:eastAsia="Arial" w:hAnsi="Arial"/>
          <w:sz w:val="24"/>
          <w:szCs w:val="24"/>
        </w:rPr>
        <w:t xml:space="preserve">- осуществление комплекса мер по обеспечению роста экономики;</w:t>
      </w:r>
    </w:p>
    <w:p>
      <w:pPr>
        <w:spacing w:after="120"/>
        <w:jc w:val="both"/>
      </w:pPr>
      <w:r>
        <w:rPr>
          <w:rFonts w:ascii="Arial" w:cs="Arial" w:eastAsia="Arial" w:hAnsi="Arial"/>
          <w:sz w:val="24"/>
          <w:szCs w:val="24"/>
        </w:rPr>
        <w:t xml:space="preserve">- пересмотр тарифов страховых взносов для всех категорий застрахованных граждан, что позволит в будущем снизить нагрузку на работодателей. Социальное страхование должно выступать в качестве эффективного инструмента, стимулирующего личную ответственность и заинтересованность каждого гражданина за свое пенсионное будущее, поддержка государства при этом должна носить характер социальных гарантий на основе адресности;</w:t>
      </w:r>
    </w:p>
    <w:p>
      <w:pPr>
        <w:spacing w:after="120"/>
        <w:jc w:val="both"/>
      </w:pPr>
      <w:r>
        <w:rPr>
          <w:rFonts w:ascii="Arial" w:cs="Arial" w:eastAsia="Arial" w:hAnsi="Arial"/>
          <w:sz w:val="24"/>
          <w:szCs w:val="24"/>
        </w:rPr>
        <w:t xml:space="preserve">- внедрение специальных средств контроля, снижающих вероятность угрозы информационным технологиям;</w:t>
      </w:r>
    </w:p>
    <w:p>
      <w:pPr>
        <w:spacing w:after="120"/>
        <w:jc w:val="both"/>
      </w:pPr>
      <w:r>
        <w:rPr>
          <w:rFonts w:ascii="Arial" w:cs="Arial" w:eastAsia="Arial" w:hAnsi="Arial"/>
          <w:sz w:val="24"/>
          <w:szCs w:val="24"/>
        </w:rPr>
        <w:t xml:space="preserve">- повышение профессионального уровня персонала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Финансовая оценка потребностей в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прогнозам, проект бюджета Социального фонда на 2015 год составляет: по доходам - в сумме 40,9 млрд сомов, по расходам - в сумме 40,0 млрд сомов.</w:t>
      </w:r>
    </w:p>
    <w:p>
      <w:pPr>
        <w:spacing w:after="120"/>
        <w:jc w:val="both"/>
      </w:pPr>
      <w:r>
        <w:rPr>
          <w:rFonts w:ascii="Arial" w:cs="Arial" w:eastAsia="Arial" w:hAnsi="Arial"/>
          <w:sz w:val="24"/>
          <w:szCs w:val="24"/>
        </w:rPr>
        <w:t xml:space="preserve">Предусматривается повышение тарифов страховых взносов для сельских товаропроизводителей и лиц, занятых индивидуальной трудовой деятельностью без образования юридического лица. По предварительным прогнозным расчетам, в результате повышения тарифов страховых взносов их доля в общем поступлении страховых взносов должна возрасти с 3 % в 2014 году до 7 % - в 2017 году, до 12 % - в 2020 году.</w:t>
      </w:r>
    </w:p>
    <w:p>
      <w:pPr>
        <w:spacing w:after="120"/>
        <w:jc w:val="both"/>
      </w:pPr>
      <w:r>
        <w:rPr>
          <w:rFonts w:ascii="Arial" w:cs="Arial" w:eastAsia="Arial" w:hAnsi="Arial"/>
          <w:sz w:val="24"/>
          <w:szCs w:val="24"/>
        </w:rPr>
        <w:t xml:space="preserve">При достижении указанных индикативных показателей появится финансовая возможность по выравниванию тарифной политики социального страхования для организованного сектора путем введения верхнего предела заработной платы при начислении страховых взносов, либо снижения ставки тарифов страховых взносов работодателя. </w:t>
      </w:r>
    </w:p>
    <w:p>
      <w:pPr>
        <w:spacing w:after="120"/>
        <w:jc w:val="both"/>
      </w:pPr>
      <w:r>
        <w:rPr>
          <w:rFonts w:ascii="Arial" w:cs="Arial" w:eastAsia="Arial" w:hAnsi="Arial"/>
          <w:sz w:val="24"/>
          <w:szCs w:val="24"/>
        </w:rPr>
        <w:t xml:space="preserve">Кроме того, в рамках Концепции предусматриваются меры по оптимизации и стабилизации расходов республиканского бюджета на пенсионное обеспечение. Комплекс мер позволит сократить расходы республиканского бюджета на 1,5 млрд сомов в 2017 году, и до 8,7 млрд сомов - к 2020 году.</w:t>
      </w:r>
    </w:p>
    <w:p>
      <w:pPr>
        <w:spacing w:after="120"/>
        <w:jc w:val="both"/>
      </w:pPr>
      <w:r>
        <w:rPr>
          <w:rFonts w:ascii="Arial" w:cs="Arial" w:eastAsia="Arial" w:hAnsi="Arial"/>
          <w:sz w:val="24"/>
          <w:szCs w:val="24"/>
        </w:rPr>
        <w:t xml:space="preserve">Также предусмотрены меры по повышению справедливости политики начисления и назначения пенсий. Будут пересмотрены механизмы индексации пенсий с учетом индивидуального вклада каждого застрахованного гражданина. При сохранении общего уровня расходов на ежегодное повышение пенсий будет строго соблюдаться страховой принцип начисления пенсий в целях стимулирования граждан к самостоятельному пенсионному обеспечению, искоренения фактов несправедливого перераспределения средств социального страхования и иждивенческого подхода.</w:t>
      </w:r>
    </w:p>
    <w:p>
      <w:pPr>
        <w:spacing w:after="120"/>
        <w:jc w:val="both"/>
      </w:pPr>
      <w:r>
        <w:rPr>
          <w:rFonts w:ascii="Arial" w:cs="Arial" w:eastAsia="Arial" w:hAnsi="Arial"/>
          <w:sz w:val="24"/>
          <w:szCs w:val="24"/>
        </w:rPr>
        <w:t xml:space="preserve">Предлагаемые меры развития системы пенсионного обеспечения позволят снизить консолидированные государственные пенсионные расходы.</w:t>
      </w:r>
    </w:p>
    <w:p>
      <w:pPr>
        <w:spacing w:after="120"/>
        <w:jc w:val="both"/>
      </w:pPr>
      <w:r>
        <w:rPr>
          <w:rFonts w:ascii="Arial" w:cs="Arial" w:eastAsia="Arial" w:hAnsi="Arial"/>
          <w:sz w:val="24"/>
          <w:szCs w:val="24"/>
        </w:rPr>
        <w:t xml:space="preserve">Мониторинг и оценка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Программе по переходу Кыргызской Республики к устойчивому развитию на 2013-2017 годы, утвержденной постановлением Жогорку Кенеша Кыргызской Республики от 18 декабря 2013 года № 3694-V, предусмотрено управление по результатам, которое предполагает внедрение систем мониторинга и оценки стратегий и программ государственных органов.</w:t>
      </w:r>
    </w:p>
    <w:p>
      <w:pPr>
        <w:spacing w:after="120"/>
        <w:jc w:val="both"/>
      </w:pPr>
      <w:r>
        <w:rPr>
          <w:rFonts w:ascii="Arial" w:cs="Arial" w:eastAsia="Arial" w:hAnsi="Arial"/>
          <w:sz w:val="24"/>
          <w:szCs w:val="24"/>
        </w:rPr>
        <w:t xml:space="preserve">Мониторинг и оценка позволят определить уровень достижения целей и задач Концепции в вопросах улучшения положения пенсионеров.</w:t>
      </w:r>
    </w:p>
    <w:p>
      <w:pPr>
        <w:spacing w:after="120"/>
        <w:jc w:val="both"/>
      </w:pPr>
      <w:r>
        <w:rPr>
          <w:rFonts w:ascii="Arial" w:cs="Arial" w:eastAsia="Arial" w:hAnsi="Arial"/>
          <w:sz w:val="24"/>
          <w:szCs w:val="24"/>
        </w:rPr>
        <w:t xml:space="preserve">Результаты мониторинга и оценки будут доступны для всех заинтересованных сторон в виде полной, достоверной и своевременной информации о ходе выполнения Плана мероприятий по реализации Концепции, которая будет размещена на сайте Социального фонда.</w:t>
      </w:r>
    </w:p>
    <w:p>
      <w:pPr>
        <w:spacing w:after="120"/>
        <w:jc w:val="both"/>
      </w:pPr>
      <w:r>
        <w:rPr>
          <w:rFonts w:ascii="Arial" w:cs="Arial" w:eastAsia="Arial" w:hAnsi="Arial"/>
          <w:sz w:val="24"/>
          <w:szCs w:val="24"/>
        </w:rPr>
        <w:t xml:space="preserve">По итогам мониторинга и оценки результатов реализации Концепции предусматривается возможность внесения изменений и дополнений в Концепцию, а также в План мероприятий по ее реализации, в части повышения эффективности и координации действий, перераспределения ресурсов и их оптимального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Концепции развития системы пенсионного обеспечения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riwwm-5e25k2gvw2zdqyw">
        <w:r>
          <w:rPr>
            <w:rFonts w:ascii="Arial" w:cs="Arial" w:eastAsia="Arial" w:hAnsi="Arial"/>
            <w:b w:val="false"/>
            <w:bCs w:val="false"/>
            <w:i/>
            <w:iCs/>
            <w:color w:val="1D4ED8"/>
            <w:sz w:val="24"/>
            <w:szCs w:val="24"/>
            <w:u w:val="single"/>
          </w:rPr>
          <w:t xml:space="preserve">2 декабря 2015 года № 825</w:t>
        </w:r>
      </w:hyperlink>
      <w:r>
        <w:rPr>
          <w:rFonts w:ascii="Arial" w:cs="Arial" w:eastAsia="Arial" w:hAnsi="Arial"/>
          <w:b w:val="false"/>
          <w:bCs w:val="false"/>
          <w:i/>
          <w:iCs/>
          <w:sz w:val="24"/>
          <w:szCs w:val="24"/>
        </w:rPr>
        <w:t xml:space="preserve">, </w:t>
      </w:r>
      <w:hyperlink w:history="1" r:id="rIdevj9fiagzcx7bcvjws-9i">
        <w:r>
          <w:rPr>
            <w:rFonts w:ascii="Arial" w:cs="Arial" w:eastAsia="Arial" w:hAnsi="Arial"/>
            <w:b w:val="false"/>
            <w:bCs w:val="false"/>
            <w:i/>
            <w:iCs/>
            <w:color w:val="1D4ED8"/>
            <w:sz w:val="24"/>
            <w:szCs w:val="24"/>
            <w:u w:val="single"/>
          </w:rPr>
          <w:t xml:space="preserve">2 февраля 2017 года № 55</w:t>
        </w:r>
      </w:hyperlink>
      <w:r>
        <w:rPr>
          <w:rFonts w:ascii="Arial" w:cs="Arial" w:eastAsia="Arial" w:hAnsi="Arial"/>
          <w:b w:val="false"/>
          <w:bCs w:val="false"/>
          <w:i/>
          <w:iCs/>
          <w:sz w:val="24"/>
          <w:szCs w:val="24"/>
        </w:rPr>
        <w:t xml:space="preserve">, </w:t>
      </w:r>
      <w:hyperlink w:history="1" r:id="rId8qmppcspfwgu3pxwdr_km">
        <w:r>
          <w:rPr>
            <w:rFonts w:ascii="Arial" w:cs="Arial" w:eastAsia="Arial" w:hAnsi="Arial"/>
            <w:b w:val="false"/>
            <w:bCs w:val="false"/>
            <w:i/>
            <w:iCs/>
            <w:color w:val="1D4ED8"/>
            <w:sz w:val="24"/>
            <w:szCs w:val="24"/>
            <w:u w:val="single"/>
          </w:rPr>
          <w:t xml:space="preserve">15 мая 2017 года № 272</w:t>
        </w:r>
      </w:hyperlink>
      <w:r>
        <w:rPr>
          <w:rFonts w:ascii="Arial" w:cs="Arial" w:eastAsia="Arial" w:hAnsi="Arial"/>
          <w:b w:val="false"/>
          <w:bCs w:val="false"/>
          <w:i/>
          <w:iCs/>
          <w:sz w:val="24"/>
          <w:szCs w:val="24"/>
        </w:rPr>
        <w:t xml:space="preserve"> ,</w:t>
      </w:r>
      <w:r>
        <w:rPr>
          <w:rFonts w:ascii="Arial" w:cs="Arial" w:eastAsia="Arial" w:hAnsi="Arial"/>
          <w:sz w:val="24"/>
          <w:szCs w:val="24"/>
        </w:rPr>
        <w:t xml:space="preserve"> </w:t>
      </w:r>
      <w:hyperlink w:history="1" r:id="rIdfnshpr6bspdl2ggkgezga">
        <w:r>
          <w:rPr>
            <w:rFonts w:ascii="Arial" w:cs="Arial" w:eastAsia="Arial" w:hAnsi="Arial"/>
            <w:b w:val="false"/>
            <w:bCs w:val="false"/>
            <w:i/>
            <w:iCs/>
            <w:color w:val="1D4ED8"/>
            <w:sz w:val="24"/>
            <w:szCs w:val="24"/>
            <w:u w:val="single"/>
          </w:rPr>
          <w:t xml:space="preserve">29 марта 2019 года № 144</w:t>
        </w:r>
      </w:hyperlink>
      <w:r>
        <w:rPr>
          <w:rFonts w:ascii="Arial" w:cs="Arial" w:eastAsia="Arial" w:hAnsi="Arial"/>
          <w:sz w:val="24"/>
          <w:szCs w:val="24"/>
        </w:rPr>
        <w:t xml:space="preserve"> </w:t>
      </w:r>
      <w:r>
        <w:rPr>
          <w:rFonts w:ascii="Arial" w:cs="Arial" w:eastAsia="Arial" w:hAnsi="Arial"/>
          <w:b w:val="false"/>
          <w:bCs w:val="false"/>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2048"/>
        <w:gridCol w:w="1152"/>
        <w:gridCol w:w="1441"/>
        <w:gridCol w:w="1576"/>
        <w:gridCol w:w="1802"/>
        <w:gridCol w:w="1799"/>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1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исполнения</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и объемы финансирования</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оценки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Совершенствование системы государственного пенсионного страхования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об изменении тарифной политики для сельских товаропроизводителей и лиц, занятых индивидуальной трудовой деятельностью</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2014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адекватности ставок тарифов страховых взносов по отношению к пенсионным выплатам.
 Актуарная сбалансированность пенсионной системы</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страховых взносов от неорганизованного сектора от общей суммы поступлений страховых взносов в Соцфонд составят в 2014 году 3%, в 2017 году - 7%</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onpzphdd-qshbgldnrxm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мая 2017 года № 272)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программного обеспечения:
 - по автоматизации обработки расчетных ведомостей по государственному социальному страхованию;
 - по сдаче электронной отчетности плательщиками страховых взносов по средствам государственного социального страхования через Интернет</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зачисление сведений об уплате страховых взносов на личные страховые счета застрахованных лиц. Снижение коррупционных рисков за счет минимизации контактов с плательщиками страховых взносов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численности плательщиков страховых взносов, сдающих отчеты через Интернет, в 2014 году составит 8%, в 2017 году - 20%</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безналичных платежей по страховым взносам (через банковские терминалы) от физических лиц, осуществляющих уплату страховых взносов путем приобретения страховых полисов и квитанций об уплате страховых взносов от крестьянских (фермерских) хозяйств без образования юридических лиц</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2015 год, 435,0 тыс. сомов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безналичных платежей. Снижение коррупционных рисков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численности самозанятых граждан, осуществляющих платежи страховых взносов посредством банковских терминалов, в 2017 году составит 5%</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и дополнений в </w:t>
            </w:r>
            <w:hyperlink w:history="1" r:id="rIdh3c-ki1qhsybecz9qzf9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государственном социальном страховании" в части систематизации мер ответственности за правильность начисления, своевременную уплату и перечисление страховых взносов</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мер ответственности плательщиков за полноту и своевременность уплаты страховых взносов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законодательства КР</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и дополнений в </w:t>
            </w:r>
            <w:hyperlink w:history="1" r:id="rId6guhknlzsxd_kckg-szf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Социальном фонде КР", в части определения объема финансирования административно-управленческих расходов</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объема финансирования административно-управленческих расходов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ограничений в объеме финансирования административно-управленческих расходов в пределах 3%</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w:t>
            </w:r>
            <w:hyperlink w:history="1" r:id="rIdfwwn4hzf_xfen9-3js9ar">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по совершенствованию администрирования страховых взносов по государственному социальному страхованию на 2014-2015 годы, утвержденного </w:t>
            </w:r>
            <w:hyperlink w:history="1" r:id="rIdbyepn6lxj2dbqzd4cdes8">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7 мая 2014 года № 149-р</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Соцфонда и ГНС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порядка администрирования страховых взносов по государственному социальному страхованию</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 расширение полномочий уполномоченного государственного органа по администрированию страховых взносов</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нормативные правовые акты, регулирующих установление и выплату базовой части пенсии и компенсации за электроэнергию</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 МТСР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использования средств республиканского бюджета на пенсионное обеспечение.
 Стабилизация расходов республиканского бюджета на пенсионное обеспечение на среднесрочную и долгосрочную перспективы</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доли базовой части пенсии в среднем размере пенсии в 2017 году до 30%</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нормативные правовые акты по поэтапному увеличению льготного пенсионного возраста, предусмотренного для жителей высокогорных и отдаленных труднодоступных зон</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 МТСР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vMerge w:val="continue"/>
            <w:tcBorders>
              <w:top w:val="none" w:color="auto" w:sz="0"/>
              <w:left w:val="none" w:color="auto" w:sz="0"/>
              <w:bottom w:val="single" w:color="CBBF9E" w:sz="4"/>
              <w:right w:val="single" w:color="CBBF9E" w:sz="4"/>
            </w:tcBorders>
          </w:tcP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численности получателей пенсий к 2017 году на 3,1 тыс.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нормативные правовые акты, предусматривающих пересмотр критериев назначения пенсии за особые заслуги, дающих право на надбавки за особые заслуги и иные виды надбавок к пенсиям</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2016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vMerge w:val="continue"/>
            <w:tcBorders>
              <w:top w:val="none" w:color="auto" w:sz="0"/>
              <w:left w:val="none" w:color="auto" w:sz="0"/>
              <w:bottom w:val="single" w:color="CBBF9E" w:sz="4"/>
              <w:right w:val="single" w:color="CBBF9E" w:sz="4"/>
            </w:tcBorders>
          </w:tcP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получателей надбавок к пенсии к 2017 году уменьшится на 360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w:t>
            </w:r>
            <w:hyperlink w:history="1" r:id="rIdx5buopu9rfnlpjnhibdv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государственном пенсионном социальном страховании" в целях совершенствования механизма индексации накопленных на страховом счете взносов</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размера пенсий. Поддержка покупательской способности пенсий</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второй страховой части пенсии в среднем размере пенсий при новых назначениях к 2017 году составит 16%</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программного комплекса персонифицированного учета с учетом утвержденного механизма индексации</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2016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2015 год, 700,0 тыс. сомов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механизма индексации страховых взносов на личных страховых счетах</w:t>
            </w:r>
          </w:p>
        </w:tc>
        <w:tc>
          <w:tcPr>
            <w:vMerge w:val="continue"/>
            <w:tcBorders>
              <w:top w:val="none" w:color="auto" w:sz="0"/>
              <w:left w:val="none" w:color="auto" w:sz="0"/>
              <w:bottom w:val="single" w:color="CBBF9E" w:sz="4"/>
              <w:right w:val="single" w:color="CBBF9E" w:sz="4"/>
            </w:tcBorders>
          </w:tcP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в </w:t>
            </w:r>
            <w:hyperlink w:history="1" r:id="rIdytm6zitn4midjvhwk1r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государственном пенсионном социальном страховании", предусматривающих введение минимального страхового стажа для получения права на пенсию по возрасту</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страхового принципа начисления пенсий</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размера средней пенсии составит к 2017 году 107%.
 Доля численности пенсионеров, получающих пенсии ниже уровня прожиточного минимума пенсионера, составит к 2017 году 57,6%</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законопроекта о внесении изменений и дополнений в </w:t>
            </w:r>
            <w:hyperlink w:history="1" r:id="rId7urz1xkv2ap1hanzzttg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инвестировании средств для финансирования накопительной части пенсии по государственному социальному страхованию в Кыргызской Республике", в части предоставления права выбора гражданам по формированию накопительной части пенсии</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гарантий по защите прав граждан на пенсионное обеспечение на уровне солидарной системы</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участвующих в формировании накопительного компонента, к 2017 году составит 5% от общей численности застрахованных граждан</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Порядка перевода пенсионных накоплений из одного пенсионного фонда в другой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права застрахованных граждан на выбор НПФ.
 Стимулирование развития НПФ</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выбравших обязательный накопительный компонент через НПФ, к 2017 году составит 2,0 тыс.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Порядка осуществления страхования ответственности депозитария, управляющей компании и НПФ</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I</w:t>
            </w:r>
            <w:r>
              <w:rPr>
                <w:rFonts w:ascii="Arial" w:cs="Arial" w:eastAsia="Arial" w:hAnsi="Arial"/>
                <w:sz w:val="24"/>
                <w:szCs w:val="24"/>
              </w:rPr>
              <w:t xml:space="preserve"> 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будет осуществляться за счет страховых взносов на финансирование накопительной части пенсии</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Правительства КР.
 Обеспечение сохранности средств пенсионных накоплений</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договоров страхования ответственности в 2017 году составит 3-6</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программного комплекса по персонифицированному учету средств пенсионных накоплений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2016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2015 год, 700,0 тыс. сомов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накопительной части пенсии с учетом инвестиционного дохода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система учета накопительной части пенсии на личных накопительных счетах</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вопроса о заключении Договора о пенсионном обеспечении трудящихся государств-членов Евразийского экономического союза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2015-2016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МИД, ГСМ, 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Договора о пенсионном обеспечении трудящихся государств-членов Евразийского экономического союза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Договора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вопроса о заключении двусторонних договоров между Кыргызской Республикой и Турецкой Республикой, а также с Республикой Корея о переводе страховых взносов, уплачиваемых трудовыми мигрантами</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-IV кварталы 2016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МИД, ГСМ, 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договоров о переводе страховых взносов трудовых мигрантов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договоров</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81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id5lbbkyc3bp0czpd98c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мая 2017 года № 272)</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Развитие инфраструктуры системы пенсионного страхования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устанавливающих требования к минимальной доходности и покрытию убытков НПФ по средствам пенсионных накоплений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Госфиннадзора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Гарантия сохранности средств пенсионных накоплений</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минимальной доходности по отношению к уровню инфляции</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Закона КР "О профессиональном пенсионном страховании в Кыргызской Республике"</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Госфиннадзора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дополнительной пенсии для работающих граждан</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количества НПФ</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мер по совершенствованию структуры системы персонифицированного учета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ФОМС, МТСР, ГРС</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соответствующих государственных органов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Улучшенная организация учета страховых взносов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данных на личные страховые счета застрахованных граждан организованного сектора осуществляется за 30 дней</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обмена информацией и данными персонифицированного учета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ФОМС, МТСР, ГРС</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соответствующих государственных органов</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интеграция отраслей системы социальной защиты и регистрации населения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Достоверность сведений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Повышение надежности негосударственного пенсионного страхования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нормативных правовых актов, обеспечивающих защиту пенсионных накоплений и регулирующих отношения между участниками негосударственных пенсионных систем</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соответствующих государственных органов</w:t>
            </w:r>
          </w:p>
        </w:tc>
        <w:tc>
          <w:tcPr>
            <w:tcW w:type="dxa" w:w="1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максимально привлекательных для частных вкладчиков условий работы с негосударственными пенсионными фондами</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формирующих добровольные пенсионные накопления в НПФ, к 2017 году составит 3,0 тыс.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нормативного правового акта, регламентирующего деятельность корпоративных и профессиональных пенсионных фондов</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Госфиннадзора на соответствующий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Повышение пенсионной грамотности населения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центров обслуживания населения в городах Бишкек и Ош</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2019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обслуживания населения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числа жалоб</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Плана мероприятий по повышению информированности населения по вопросам пенсионного страхования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2015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утвержден приказом председателя Соцфонда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план</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тематических теле- и радиопередач по вопросам пенсионного обеспечения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общего уровня пенсионной грамотности и информированности населения</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граждан, занятых в неформальном секторе экономики, уплачивающих страховые взносы, к 2017 году составит 150,0 тыс. чел.</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социальной рекламы по вопросам пенсионного обеспечения на телевидении, а также наружной рекламы (баннеры, стенды).
 Подготовка, выпуск и распространение информационных листков, буклетов, брошюр, сборников для информирования населения по вопросам пенсионного страхования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МГА, ОМСУ (по согласованию)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 600,0 тыс. сомов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работы "горячей линии" по пенсионным вопросам</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МГА, ОМСУ (по согласованию)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Оперативное рассмотрение жалоб и заявлений граждан</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числа жалоб</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информационной работы среди журналистов по вопросам пенсионного обеспечения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журналистов в вопросах пенсионного обеспечения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средствах массовой информации</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социальных и образовательных учреждений республики методическими и информационными материалами по вопросам государственного социального страхования</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2015-2017 годов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Соцфонда на соответствующий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трудоспособного населения в вопросах государственного социального страхования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увеличение количества социальных и образовательных учреждений, оснащенных материалами по вопросам государственного социального страхования</w:t>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миграции при Правительстве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Госфиннадзор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местные государственные администрации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НПФ</w:t>
      </w:r>
      <w:r>
        <w:rPr>
          <w:rFonts w:ascii="Arial" w:cs="Arial" w:eastAsia="Arial" w:hAnsi="Arial"/>
          <w:sz w:val="24"/>
          <w:szCs w:val="24"/>
        </w:rPr>
        <w:t xml:space="preserve">	</w:t>
      </w:r>
      <w:r>
        <w:rPr>
          <w:rFonts w:ascii="Arial" w:cs="Arial" w:eastAsia="Arial" w:hAnsi="Arial"/>
          <w:sz w:val="24"/>
          <w:szCs w:val="24"/>
        </w:rPr>
        <w:t xml:space="preserve">негосударственный пенсионный фонд</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rcncy-y_lg1chhwxd3n3" Type="http://schemas.openxmlformats.org/officeDocument/2006/relationships/hyperlink" Target="http://kodeks.duckdns.org/document/98221" TargetMode="External"/><Relationship Id="rIdtfry5oniatfd8u9tjhjbj" Type="http://schemas.openxmlformats.org/officeDocument/2006/relationships/hyperlink" Target="http://kodeks.duckdns.org/document/98775" TargetMode="External"/><Relationship Id="rIdzope08dqemwc6uq4yude_" Type="http://schemas.openxmlformats.org/officeDocument/2006/relationships/hyperlink" Target="http://kodeks.duckdns.org/document/99982" TargetMode="External"/><Relationship Id="rIdx_8an9rbzwlvxvkzi3bh-" Type="http://schemas.openxmlformats.org/officeDocument/2006/relationships/hyperlink" Target="http://kodeks.duckdns.org/document/13465" TargetMode="External"/><Relationship Id="rIdatco-in_alwytn_j0c8er" Type="http://schemas.openxmlformats.org/officeDocument/2006/relationships/hyperlink" Target="http://kodeks.duckdns.org/document/158975" TargetMode="External"/><Relationship Id="rIdo1_sk3pgnnwanungttx_r" Type="http://schemas.openxmlformats.org/officeDocument/2006/relationships/hyperlink" Target="http://kodeks.duckdns.org/document/203685" TargetMode="External"/><Relationship Id="rIdaupvrawca5egeh_av7ikt" Type="http://schemas.openxmlformats.org/officeDocument/2006/relationships/hyperlink" Target="http://kodeks.duckdns.org/document/97201#p1" TargetMode="External"/><Relationship Id="rIdgm5di1wocxboln4jdfclu" Type="http://schemas.openxmlformats.org/officeDocument/2006/relationships/hyperlink" Target="http://kodeks.duckdns.org/document/97201#p2" TargetMode="External"/><Relationship Id="rIdhilcnz6oqm_yvvvewkhaq" Type="http://schemas.openxmlformats.org/officeDocument/2006/relationships/hyperlink" Target="http://kodeks.duckdns.org/document/98221" TargetMode="External"/><Relationship Id="rIdn6a2llph_qitc1hf9aeu0" Type="http://schemas.openxmlformats.org/officeDocument/2006/relationships/hyperlink" Target="http://kodeks.duckdns.org/document/158975" TargetMode="External"/><Relationship Id="rIdswy8b01g-bdl8n8-0bsnz" Type="http://schemas.openxmlformats.org/officeDocument/2006/relationships/hyperlink" Target="http://kodeks.duckdns.org/document/158975" TargetMode="External"/><Relationship Id="rId8hxx07rxlfbowijd39ap9" Type="http://schemas.openxmlformats.org/officeDocument/2006/relationships/hyperlink" Target="http://kodeks.duckdns.org/document/158975" TargetMode="External"/><Relationship Id="rIdriwwm-5e25k2gvw2zdqyw" Type="http://schemas.openxmlformats.org/officeDocument/2006/relationships/hyperlink" Target="http://kodeks.duckdns.org/document/98221" TargetMode="External"/><Relationship Id="rIdevj9fiagzcx7bcvjws-9i" Type="http://schemas.openxmlformats.org/officeDocument/2006/relationships/hyperlink" Target="http://kodeks.duckdns.org/document/98775" TargetMode="External"/><Relationship Id="rId8qmppcspfwgu3pxwdr_km" Type="http://schemas.openxmlformats.org/officeDocument/2006/relationships/hyperlink" Target="http://kodeks.duckdns.org/document/99982" TargetMode="External"/><Relationship Id="rIdfnshpr6bspdl2ggkgezga" Type="http://schemas.openxmlformats.org/officeDocument/2006/relationships/hyperlink" Target="http://kodeks.duckdns.org/document/13465" TargetMode="External"/><Relationship Id="rIdonpzphdd-qshbgldnrxmz" Type="http://schemas.openxmlformats.org/officeDocument/2006/relationships/hyperlink" Target="http://kodeks.duckdns.org/document/99982" TargetMode="External"/><Relationship Id="rIdh3c-ki1qhsybecz9qzf9s" Type="http://schemas.openxmlformats.org/officeDocument/2006/relationships/hyperlink" Target="http://kodeks.duckdns.org/document/627" TargetMode="External"/><Relationship Id="rId6guhknlzsxd_kckg-szfu" Type="http://schemas.openxmlformats.org/officeDocument/2006/relationships/hyperlink" Target="http://kodeks.duckdns.org/document/1502" TargetMode="External"/><Relationship Id="rIdfwwn4hzf_xfen9-3js9ar" Type="http://schemas.openxmlformats.org/officeDocument/2006/relationships/hyperlink" Target="http://kodeks.duckdns.org/document/211114#p1" TargetMode="External"/><Relationship Id="rIdbyepn6lxj2dbqzd4cdes8" Type="http://schemas.openxmlformats.org/officeDocument/2006/relationships/hyperlink" Target="http://kodeks.duckdns.org/document/211114" TargetMode="External"/><Relationship Id="rIdx5buopu9rfnlpjnhibdvf" Type="http://schemas.openxmlformats.org/officeDocument/2006/relationships/hyperlink" Target="http://kodeks.duckdns.org/document/557" TargetMode="External"/><Relationship Id="rIdytm6zitn4midjvhwk1rrl" Type="http://schemas.openxmlformats.org/officeDocument/2006/relationships/hyperlink" Target="http://kodeks.duckdns.org/document/557" TargetMode="External"/><Relationship Id="rId7urz1xkv2ap1hanzzttgh" Type="http://schemas.openxmlformats.org/officeDocument/2006/relationships/hyperlink" Target="http://kodeks.duckdns.org/document/203321" TargetMode="External"/><Relationship Id="rIdid5lbbkyc3bp0czpd98c9" Type="http://schemas.openxmlformats.org/officeDocument/2006/relationships/hyperlink" Target="http://kodeks.duckdns.org/document/99982"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2026-09-23T12:37:18.547Z</dcterms:created>
  <dcterms:modified xsi:type="dcterms:W3CDTF">2026-09-23T12:37:18.547Z</dcterms:modified>
</cp:coreProperties>
</file>

<file path=docProps/custom.xml><?xml version="1.0" encoding="utf-8"?>
<Properties xmlns="http://schemas.openxmlformats.org/officeDocument/2006/custom-properties" xmlns:vt="http://schemas.openxmlformats.org/officeDocument/2006/docPropsVTypes"/>
</file>