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</w:t>
      </w:r>
      <w:r>
        <w:rPr>
          <w:rFonts w:ascii="Arial" w:cs="Arial" w:eastAsia="Arial" w:hAnsi="Arial"/>
          <w:sz w:val="24"/>
          <w:szCs w:val="24"/>
        </w:rPr>
        <w:t xml:space="preserve">определения размера </w:t>
      </w:r>
      <w:r>
        <w:rPr>
          <w:rFonts w:ascii="Arial" w:cs="Arial" w:eastAsia="Arial" w:hAnsi="Arial"/>
          <w:sz w:val="24"/>
          <w:szCs w:val="24"/>
        </w:rPr>
        <w:t xml:space="preserve">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пользование жилым помещением </w:t>
      </w:r>
      <w:r>
        <w:rPr>
          <w:rFonts w:ascii="Arial" w:cs="Arial" w:eastAsia="Arial" w:hAnsi="Arial"/>
          <w:sz w:val="24"/>
          <w:szCs w:val="24"/>
        </w:rPr>
        <w:t xml:space="preserve">(кваритрной платы) в домах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53 </w:t>
      </w:r>
      <w:hyperlink w:history="1" r:id="rIdayajwilfo36nsdnre_x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определения размера платы за пользование жилым помещением (кваритрной платы) в домах государственного жилищного фонда согласно </w:t>
      </w:r>
      <w:hyperlink w:history="1" r:id="rIdepctodygkj7lsug1wb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при определении размера платы за пользовании жилым помещением (кваритрной платы) в домах государственного жилищного фонда руководствоваться Порядком, утвержденным пунктом 1 настоящего постановления.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не ранее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размера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пользование жилым помещением (кваритрной платы) в домах государственного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платы за пользование жилым помещением (кваритрной платы) в домах государственного жилищного фонда входить сумма оплаты расходов за техническое содержание вспомогательных помещений общего пользования в многоквартирном доме и придомового земельного участка, а также сумма, направляемая в Фонд развития 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платы за пользование жилым помещением по договорам найма жилых помещений (кваритрной платы) в домах государственного жилищного фонда определяется исходя из платы за один квадратный метр  занимаемой общей площади  (в отдельных комнатах – исходя из площади этих комнат) жилого помещения путем умножения на общую площадь занимаемого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(Н) за один квадратный метр занимаемой общей площади  жилого помещения (далее - Плата) рассчитывается, как произведение базовой платы (Нб) за один квадратный метр занимаемой общей площади  жилые его помещения (далее – базовая плата) на коэффициенты, учитывающие благоустройство, комфортность и месторасположение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 = Нб х Кб х Кк х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Кб - коэффициент благоустроенности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Кк - коэффициент комфортности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Км - коэффициент месторасположения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Кб - коэффициент отражающий благоустроенность жилого помещения: наличие  лифта, горячего и холодного водоснабжения, водоотведения, центрального отопления и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Кб в жилых помещениях, в которых отсутствуют горячее и холодное водоснабжение или водоотведение или центральное отопление и газоснабжение уменьшается на показатель 0,1 за каждый отсутствующий вид инженерного обустройства, но не более чем на  0,5.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8129"/>
        <w:gridCol w:w="1400"/>
      </w:tblGrid>
      <w:tr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жилых помещений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имеющие  все виды благоустройства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  помещения, в котором отсутствует один вид инженерного обустройства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комфортности жилого помещения определяется отношением общей площади жилого помещения к жилой площади жилого помещения.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"/>
        <w:gridCol w:w="8125"/>
        <w:gridCol w:w="1403"/>
      </w:tblGrid>
      <w:tr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общей площади жилого помещения к жилой площади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енее 1,5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1,5 до 2,1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2,1 и более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– коэффициент месторасположения жилого помещения,  отражает близость жилого помещения   к центральной части населенного пункта.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"/>
        <w:gridCol w:w="8091"/>
        <w:gridCol w:w="1437"/>
      </w:tblGrid>
      <w:tr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жилых помещений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Км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расположенные в срединной части города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1,0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расположенные в отдаленной части города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0,9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расположенные в сельской местности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0,8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Базовая плата определяется по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Нб = С х Р / (Тх12),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Нб – базовая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С- коэффициент соответствия платы для нанимателей рыночной стоимости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 - средняя рыночная цена за один квадратный метр жилья в соответствующем населенном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12 - число месяцев в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Т – нормативный срок  службы здания (дома).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5"/>
        <w:gridCol w:w="5850"/>
        <w:gridCol w:w="1433"/>
      </w:tblGrid>
      <w:tr>
        <w:tc>
          <w:tcPr>
            <w:tcW w:type="dxa" w:w="2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многоквартирных и инд.домов</w:t>
            </w:r>
          </w:p>
        </w:tc>
        <w:tc>
          <w:tcPr>
            <w:tcW w:type="dxa" w:w="5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фундаментов, стен и перекрытий</w:t>
            </w:r>
          </w:p>
        </w:tc>
        <w:tc>
          <w:tcPr>
            <w:tcW w:type="dxa" w:w="1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(лет)</w:t>
            </w:r>
          </w:p>
        </w:tc>
      </w:tr>
      <w:tr>
        <w:tc>
          <w:tcPr>
            <w:tcW w:type="dxa" w:w="2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группа</w:t>
            </w:r>
          </w:p>
        </w:tc>
        <w:tc>
          <w:tcPr>
            <w:tcW w:type="dxa" w:w="5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каменные, обыкновенные; фундаменты - каменные, стены - каменные (кирпичные), крупноблочные и крупнопанельные, перекрытия - железобетонные или смешанные (деревянные и железобетонные), а также каменные своды по металлическим балкам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2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группа</w:t>
            </w:r>
          </w:p>
        </w:tc>
        <w:tc>
          <w:tcPr>
            <w:tcW w:type="dxa" w:w="5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каменные, облегченные; фундаменты каменные и бетонные, стены - облегченной кладки из кирпича, шлакоблоков и ракушечника, перекрытия - деревянные, железобетонные или каменные по металлическим балкам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группа</w:t>
            </w:r>
          </w:p>
        </w:tc>
        <w:tc>
          <w:tcPr>
            <w:tcW w:type="dxa" w:w="5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деревянные, рубленые и брусчатые, смешанной конструкции; фундаменты - ленточные бутовые, стены - рубленые, брусчатые и смешанные (кирпичные и деревянные), перекрытия – деревянные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Средняя рыночная цена жилья за один квадратный метр в соответствующем населенном пункте определяется по данным (индексу цен) уполномоченного государственного органа в сфере регистрации прав на недвижимое имущество  и сделок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Коэффициент соответствия платы для нанимателей рыночной стоимости жилья (С) представляет собой долю оплаты нанимателями затрат собственника жилого помещения на строительство и реконструкцию жилищного фонда, в котором жилые помещения предоставляются по договорам найма жилого помещения государственного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служебных жилых помещений государственного жилищного фонда, а также жилых помещений специализированного жилищного фонда предоставляемые  по договору  найма, величина коэффициента соответствия размер платы для нанимателей рыночной стоимости жилья   составляет - 0,1.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жилых помещений государственного жилищного фонда, предоставляемые по договору найма в коммерческих целях, величина коэффициента соответствия платы для нанимателей рыночной стоимости жилья  составляет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 платы за пользование жилым помещением в домах государственного жилищного фонда (П) определяется по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= Н х S,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Н - плата за один квадратный метр  общей площади занимаемого 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S - общая площадь занимаемого  жилого помещения.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ajwilfo36nsdnre_xv0" Type="http://schemas.openxmlformats.org/officeDocument/2006/relationships/hyperlink" Target="http://kodeks.duckdns.org/document/203926" TargetMode="External"/><Relationship Id="rIdepctodygkj7lsug1wblrd" Type="http://schemas.openxmlformats.org/officeDocument/2006/relationships/hyperlink" Target="http://kodeks.duckdns.org/document/97241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2026-09-23T09:36:39.006Z</dcterms:created>
  <dcterms:modified xsi:type="dcterms:W3CDTF">2026-09-23T09:36:39.006Z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