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kgoxg19dh9g7iwapbwlt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мая 2020 года № 274</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от 19 декабря 2014 года № 716</w:t>
      </w:r>
    </w:p>
    <w:p>
      <w:pPr>
        <w:spacing w:after="480" w:before="200"/>
        <w:jc w:val="center"/>
      </w:pPr>
      <w:r>
        <w:rPr>
          <w:rFonts w:ascii="Arial" w:cs="Arial" w:eastAsia="Arial" w:hAnsi="Arial"/>
          <w:b/>
          <w:bCs/>
          <w:sz w:val="28"/>
          <w:szCs w:val="28"/>
        </w:rPr>
        <w:t xml:space="preserve">О новых принципах формирования и использования резерва кадров кандидатов на должности членов советов директоров, ревизионных комиссий и секретарей хозяйственных обществ с государственной долей участия</w:t>
      </w:r>
    </w:p>
    <w:p>
      <w:pPr>
        <w:spacing w:after="480"/>
        <w:jc w:val="center"/>
      </w:pPr>
      <w:r>
        <w:rPr>
          <w:rFonts w:ascii="Arial" w:cs="Arial" w:eastAsia="Arial" w:hAnsi="Arial"/>
          <w:i/>
          <w:iCs/>
          <w:sz w:val="24"/>
          <w:szCs w:val="24"/>
        </w:rPr>
        <w:t xml:space="preserve">(В редакции постановления Правительства КР от </w:t>
      </w:r>
      <w:hyperlink w:history="1" r:id="rIdlqvznem84ccm4qztqp4qr">
        <w:r>
          <w:rPr>
            <w:rFonts w:ascii="Arial" w:cs="Arial" w:eastAsia="Arial" w:hAnsi="Arial"/>
            <w:i/>
            <w:iCs/>
            <w:color w:val="1D4ED8"/>
            <w:sz w:val="24"/>
            <w:szCs w:val="24"/>
            <w:u w:val="single"/>
          </w:rPr>
          <w:t xml:space="preserve">8 мая 2015 года № 279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целях повышения эффективности и прозрачности процедур по отбору и выдвижению кандидатов на должности членов советов директоров, ревизионных комиссий и секретарей хозяйственных обществ с государственной долей участия, руководствуясь статьями 10 и 17 </w:t>
      </w:r>
      <w:hyperlink w:history="1" r:id="rIdzsop7xjruijt0-7q6rdl-">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w:t>
      </w:r>
    </w:p>
    <w:p>
      <w:pPr>
        <w:spacing w:after="120" w:before="240"/>
        <w:ind w:firstLine="397"/>
        <w:jc w:val="center"/>
      </w:pPr>
      <w:r>
        <w:rPr>
          <w:rFonts w:ascii="Arial" w:cs="Arial" w:eastAsia="Arial" w:hAnsi="Arial"/>
          <w:sz w:val="24"/>
          <w:szCs w:val="24"/>
        </w:rPr>
        <w:t xml:space="preserve">ПОСТАНОВЛЯЕТ:</w:t>
      </w:r>
    </w:p>
    <w:p>
      <w:pPr>
        <w:spacing w:after="120" w:before="240"/>
        <w:ind w:firstLine="397"/>
        <w:jc w:val="both"/>
      </w:pPr>
      <w:r>
        <w:rPr>
          <w:rFonts w:ascii="Arial" w:cs="Arial" w:eastAsia="Arial" w:hAnsi="Arial"/>
          <w:sz w:val="24"/>
          <w:szCs w:val="24"/>
        </w:rPr>
        <w:t xml:space="preserve">1. Утвердить:</w:t>
      </w:r>
    </w:p>
    <w:p>
      <w:pPr>
        <w:spacing w:after="120"/>
        <w:ind w:firstLine="397"/>
        <w:jc w:val="both"/>
      </w:pPr>
      <w:r>
        <w:rPr>
          <w:rFonts w:ascii="Arial" w:cs="Arial" w:eastAsia="Arial" w:hAnsi="Arial"/>
          <w:sz w:val="24"/>
          <w:szCs w:val="24"/>
        </w:rPr>
        <w:t xml:space="preserve">- </w:t>
      </w:r>
      <w:hyperlink w:history="1" r:id="rIdlmjwov6vxcfvhshgdkzi2">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межведомственной комиссии по формированию резерва кадров кандидатов на должности членов советов директоров, ревизионных комиссий и секретарей хозяйственных обществ с государственной долей участия согласно приложению 1;</w:t>
      </w:r>
    </w:p>
    <w:p>
      <w:pPr>
        <w:spacing w:after="120"/>
        <w:ind w:firstLine="397"/>
        <w:jc w:val="both"/>
      </w:pPr>
      <w:r>
        <w:rPr>
          <w:rFonts w:ascii="Arial" w:cs="Arial" w:eastAsia="Arial" w:hAnsi="Arial"/>
          <w:sz w:val="24"/>
          <w:szCs w:val="24"/>
        </w:rPr>
        <w:t xml:space="preserve">- </w:t>
      </w:r>
      <w:hyperlink w:history="1" r:id="rIdtoqwewrhm7vhyg3ofqreb">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резерве кадров кандидатов на должности членов советов директоров, ревизионных комиссий и секретарей хозяйственных обществ с государственной долей участия согласно приложению 2.</w:t>
      </w:r>
    </w:p>
    <w:p>
      <w:pPr>
        <w:spacing w:after="120"/>
        <w:ind w:firstLine="397"/>
        <w:jc w:val="both"/>
      </w:pPr>
      <w:r>
        <w:rPr>
          <w:rFonts w:ascii="Arial" w:cs="Arial" w:eastAsia="Arial" w:hAnsi="Arial"/>
          <w:sz w:val="24"/>
          <w:szCs w:val="24"/>
        </w:rPr>
        <w:t xml:space="preserve">2. Установить что:</w:t>
      </w:r>
    </w:p>
    <w:p>
      <w:pPr>
        <w:spacing w:after="120"/>
        <w:ind w:firstLine="397"/>
        <w:jc w:val="both"/>
      </w:pPr>
      <w:r>
        <w:rPr>
          <w:rFonts w:ascii="Arial" w:cs="Arial" w:eastAsia="Arial" w:hAnsi="Arial"/>
          <w:sz w:val="24"/>
          <w:szCs w:val="24"/>
        </w:rPr>
        <w:t xml:space="preserve">- кандидатуры для избрания на должность членов советов директоров хозяйственных обществ с государственной долей участия (далее - общество) вносятся в установленном порядке в общество уполномоченным государственным органом в сфере управления государственным имуществом по представлению межведомственной комиссии по формированию резерва кадров кандидатов на должности членов советов директоров, ревизионных комиссий и секретарей обществ из числа лиц, состоящих в резерве кадров кандидатов. При этом кандидатуры в совет директоров обществ, включенных в перечень стратегических объектов Кыргызской Республики, согласовываются с отраслевыми государственными органами и с Премьер-министром Кыргызской Республики;</w:t>
      </w:r>
    </w:p>
    <w:p>
      <w:pPr>
        <w:spacing w:after="120"/>
        <w:ind w:firstLine="397"/>
        <w:jc w:val="both"/>
      </w:pPr>
      <w:r>
        <w:rPr>
          <w:rFonts w:ascii="Arial" w:cs="Arial" w:eastAsia="Arial" w:hAnsi="Arial"/>
          <w:sz w:val="24"/>
          <w:szCs w:val="24"/>
        </w:rPr>
        <w:t xml:space="preserve">- кандидатуры для избрания на должность единоличного исполнительного органа либо в члены коллегиального исполнительного органа общества вносятся членами советов директоров или акционерами обществ, если их деятельность осуществляется без образования советов директоров из числа лиц, включенных в резерв кадров общества, либо по результатам публичного международного конкурса в порядке, предусмотренном внутренними документами общества. При этом кандидатуры для избрания на должность единоличного исполнительного органа либо руководителей коллегиального исполнительного органа обществ, включенных в перечень стратегических объектов Кыргызской Республики, согласовываются в установленном законодательством порядке с отраслевыми государственными органами и Премьер-министром Кыргызской Республики</w:t>
      </w:r>
    </w:p>
    <w:p>
      <w:pPr>
        <w:spacing w:after="120"/>
        <w:ind w:firstLine="397"/>
        <w:jc w:val="both"/>
      </w:pPr>
      <w:r>
        <w:rPr>
          <w:rFonts w:ascii="Arial" w:cs="Arial" w:eastAsia="Arial" w:hAnsi="Arial"/>
          <w:sz w:val="24"/>
          <w:szCs w:val="24"/>
        </w:rPr>
        <w:t xml:space="preserve">- кандидатуры для избрания на должность членов ревизионных комиссий обществ вносятся Фондом по управлению государственным имуществом при Правительстве Кыргызской Республики по представлению межведомственной комиссии по формированию резерва кадров кандидатов на должности членов советов директоров, ревизионных комиссий и секретарей хозяйственных обществ;</w:t>
      </w:r>
    </w:p>
    <w:p>
      <w:pPr>
        <w:spacing w:after="120"/>
        <w:ind w:firstLine="397"/>
        <w:jc w:val="both"/>
      </w:pPr>
      <w:r>
        <w:rPr>
          <w:rFonts w:ascii="Arial" w:cs="Arial" w:eastAsia="Arial" w:hAnsi="Arial"/>
          <w:sz w:val="24"/>
          <w:szCs w:val="24"/>
        </w:rPr>
        <w:t xml:space="preserve">- отбор и назначение секретарей обществ осуществляется советом директоров обществ, а в случае его отсутствия - общим собранием акционеров общества, из числа лиц, включенных в резерв кадров;</w:t>
      </w:r>
    </w:p>
    <w:p>
      <w:pPr>
        <w:spacing w:after="120"/>
        <w:ind w:firstLine="397"/>
        <w:jc w:val="both"/>
      </w:pPr>
      <w:r>
        <w:rPr>
          <w:rFonts w:ascii="Arial" w:cs="Arial" w:eastAsia="Arial" w:hAnsi="Arial"/>
          <w:sz w:val="24"/>
          <w:szCs w:val="24"/>
        </w:rPr>
        <w:t xml:space="preserve">- уполномоченный государственный орган в сфере управления государственным имуществом ведет учет лиц, полномочия которых в качестве членов советов директоров и ревизионных комиссий обществ были прекращены в связи с утратой доверия, либо по иным дискредитирующим основаниям, и несет ответственность за своевременное выявление и недопущение включения таких лиц в резерв кадров.</w:t>
      </w:r>
    </w:p>
    <w:p>
      <w:pPr>
        <w:spacing w:after="120"/>
        <w:ind w:firstLine="397"/>
        <w:jc w:val="both"/>
      </w:pPr>
      <w:r>
        <w:rPr>
          <w:rFonts w:ascii="Arial" w:cs="Arial" w:eastAsia="Arial" w:hAnsi="Arial"/>
          <w:sz w:val="24"/>
          <w:szCs w:val="24"/>
        </w:rPr>
        <w:t xml:space="preserve">- вопрос о досрочном прекращении полномочий лица, избранного единоличным исполнительным органом либо руководителем коллегиального исполнительного органа обществ, включенных в перечень стратегических объектов Кыргызской Республики, вносится в установленном законодательством порядке уполномоченным государственным органом в сфере управления государственным имуществом по согласованию с Премьер-министром Кыргызской Республики на основании представления отраслевого государственного органа.</w:t>
      </w:r>
    </w:p>
    <w:p>
      <w:pPr>
        <w:spacing w:after="480"/>
        <w:jc w:val="both"/>
      </w:pPr>
      <w:r>
        <w:rPr>
          <w:rFonts w:ascii="Arial" w:cs="Arial" w:eastAsia="Arial" w:hAnsi="Arial"/>
          <w:i/>
          <w:iCs/>
          <w:sz w:val="24"/>
          <w:szCs w:val="24"/>
        </w:rPr>
        <w:t xml:space="preserve">(В редакции постановления Правительства КР от </w:t>
      </w:r>
      <w:hyperlink w:history="1" r:id="rId4he1yizpiisftjammtmzp">
        <w:r>
          <w:rPr>
            <w:rFonts w:ascii="Arial" w:cs="Arial" w:eastAsia="Arial" w:hAnsi="Arial"/>
            <w:i/>
            <w:iCs/>
            <w:color w:val="1D4ED8"/>
            <w:sz w:val="24"/>
            <w:szCs w:val="24"/>
            <w:u w:val="single"/>
          </w:rPr>
          <w:t xml:space="preserve">8 мая 2015 года № 279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Фонду по управлению государственным имуществом при Правительстве Кыргызской Республики:</w:t>
      </w:r>
    </w:p>
    <w:p>
      <w:pPr>
        <w:spacing w:after="120"/>
        <w:ind w:firstLine="397"/>
        <w:jc w:val="both"/>
      </w:pPr>
      <w:r>
        <w:rPr>
          <w:rFonts w:ascii="Arial" w:cs="Arial" w:eastAsia="Arial" w:hAnsi="Arial"/>
          <w:sz w:val="24"/>
          <w:szCs w:val="24"/>
        </w:rPr>
        <w:t xml:space="preserve">- внести предложения в советы директоров о создании при них резерва кадров для руководителей и/или членов исполнительного органа обществ;</w:t>
      </w:r>
    </w:p>
    <w:p>
      <w:pPr>
        <w:spacing w:after="120"/>
        <w:ind w:firstLine="397"/>
        <w:jc w:val="both"/>
      </w:pPr>
      <w:r>
        <w:rPr>
          <w:rFonts w:ascii="Arial" w:cs="Arial" w:eastAsia="Arial" w:hAnsi="Arial"/>
          <w:sz w:val="24"/>
          <w:szCs w:val="24"/>
        </w:rPr>
        <w:t xml:space="preserve">- обеспечить доступ представителей средств массовой информации на заседания межведомственной комиссии по формированию резерва кадров кандидатов на должности членов советов директоров, ревизионных комиссий и секретарей обществ.</w:t>
      </w:r>
    </w:p>
    <w:p>
      <w:pPr>
        <w:spacing w:after="120"/>
        <w:ind w:firstLine="397"/>
        <w:jc w:val="both"/>
      </w:pPr>
      <w:r>
        <w:rPr>
          <w:rFonts w:ascii="Arial" w:cs="Arial" w:eastAsia="Arial" w:hAnsi="Arial"/>
          <w:sz w:val="24"/>
          <w:szCs w:val="24"/>
        </w:rPr>
        <w:t xml:space="preserve">4. Министерству экономики Кыргызской Республики:</w:t>
      </w:r>
    </w:p>
    <w:p>
      <w:pPr>
        <w:spacing w:after="120"/>
        <w:ind w:firstLine="397"/>
        <w:jc w:val="both"/>
      </w:pPr>
      <w:r>
        <w:rPr>
          <w:rFonts w:ascii="Arial" w:cs="Arial" w:eastAsia="Arial" w:hAnsi="Arial"/>
          <w:sz w:val="24"/>
          <w:szCs w:val="24"/>
        </w:rPr>
        <w:t xml:space="preserve">- в двухмесячный срок с момента вступления в силу настоящего постановления сформировать состав межведомственной комиссии по формированию резерва кадров кандидатов на должности членов советов директоров, ревизионных комиссий и секретарей хозяйственных обществ и в установленном порядке представить на утверждение Правительства Кыргызской Республики;</w:t>
      </w:r>
    </w:p>
    <w:p>
      <w:pPr>
        <w:spacing w:after="120"/>
        <w:ind w:firstLine="397"/>
        <w:jc w:val="both"/>
      </w:pPr>
      <w:r>
        <w:rPr>
          <w:rFonts w:ascii="Arial" w:cs="Arial" w:eastAsia="Arial" w:hAnsi="Arial"/>
          <w:sz w:val="24"/>
          <w:szCs w:val="24"/>
        </w:rPr>
        <w:t xml:space="preserve">- в дальнейшем, при необходимости, в установленном порядке обеспечивать обновление состава межведомственной комиссии по формированию резерва кадров кандидатов на должности членов советов директоров, ревизионных комиссий и секретарей хозяйственных обществ.</w:t>
      </w:r>
    </w:p>
    <w:p>
      <w:pPr>
        <w:spacing w:after="120"/>
        <w:ind w:firstLine="397"/>
        <w:jc w:val="both"/>
      </w:pPr>
      <w:r>
        <w:rPr>
          <w:rFonts w:ascii="Arial" w:cs="Arial" w:eastAsia="Arial" w:hAnsi="Arial"/>
          <w:sz w:val="24"/>
          <w:szCs w:val="24"/>
        </w:rPr>
        <w:t xml:space="preserve">5. Соответствующим министерствам и ведомствам Кыргызской Республики в месячный срок с даты принятия настоящего постановления привести свои акты в соответствие с настоящим постановлением.</w:t>
      </w:r>
    </w:p>
    <w:p>
      <w:pPr>
        <w:spacing w:after="120"/>
        <w:ind w:firstLine="397"/>
        <w:jc w:val="both"/>
      </w:pPr>
      <w:r>
        <w:rPr>
          <w:rFonts w:ascii="Arial" w:cs="Arial" w:eastAsia="Arial" w:hAnsi="Arial"/>
          <w:sz w:val="24"/>
          <w:szCs w:val="24"/>
        </w:rPr>
        <w:t xml:space="preserve">6. Признать утратившими силу абзацы второй и третий пункта 1, пункт 2, абзацы первый и второй пункта 3, пункты 4 и 5, абзацы третий-пятый пункта 6, первое предложение абзаца второго пункта 7, абзац пятый пункта 11 </w:t>
      </w:r>
      <w:hyperlink w:history="1" r:id="rIdwvkndhk5ektzswf48uwu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мерах по повышению эффективности системы управления хозяйственных обществ с государственной долей участия" от 20 июля 2012 года № 513.</w:t>
      </w:r>
    </w:p>
    <w:p>
      <w:pPr>
        <w:spacing w:after="120"/>
        <w:ind w:firstLine="397"/>
        <w:jc w:val="both"/>
      </w:pPr>
      <w:r>
        <w:rPr>
          <w:rFonts w:ascii="Arial" w:cs="Arial" w:eastAsia="Arial" w:hAnsi="Arial"/>
          <w:sz w:val="24"/>
          <w:szCs w:val="24"/>
        </w:rPr>
        <w:t xml:space="preserve">7. Настоящее постановление вступает в силу с 1 апреля 2015 года.</w:t>
      </w:r>
    </w:p>
    <w:p>
      <w:pPr>
        <w:spacing w:after="120"/>
        <w:ind w:firstLine="397"/>
        <w:jc w:val="both"/>
      </w:pPr>
      <w:r>
        <w:rPr>
          <w:rFonts w:ascii="Arial" w:cs="Arial" w:eastAsia="Arial" w:hAnsi="Arial"/>
          <w:sz w:val="24"/>
          <w:szCs w:val="24"/>
        </w:rPr>
        <w:t xml:space="preserve">8. Опубликовать настоящее постановление в средствах массовой информации.</w:t>
      </w:r>
    </w:p>
    <w:p>
      <w:pPr>
        <w:spacing w:after="120"/>
        <w:ind w:firstLine="397"/>
        <w:jc w:val="both"/>
      </w:pPr>
      <w:r>
        <w:rPr>
          <w:rFonts w:ascii="Arial" w:cs="Arial" w:eastAsia="Arial" w:hAnsi="Arial"/>
          <w:sz w:val="24"/>
          <w:szCs w:val="24"/>
        </w:rPr>
        <w:t xml:space="preserve">9.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ind w:firstLine="39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l8e_ilph2apd12tkbjhv">
      <w:r>
        <w:rPr>
          <w:rFonts w:ascii="Arial" w:cs="Arial" w:eastAsia="Arial" w:hAnsi="Arial"/>
          <w:color w:val="132D3F"/>
          <w:sz w:val="16"/>
          <w:szCs w:val="16"/>
          <w:u w:val="single"/>
        </w:rPr>
        <w:t xml:space="preserve">dalil.kg/document/97388</w:t>
      </w:r>
    </w:hyperlink>
  </w:p>
  <w:p>
    <w:pPr>
      <w:spacing w:after="0" w:before="40"/>
      <w:jc w:val="center"/>
    </w:pPr>
    <w:hyperlink w:history="1" r:id="rIdvi10bg5c8kgsuttpaepw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goxg19dh9g7iwapbwlts" Type="http://schemas.openxmlformats.org/officeDocument/2006/relationships/hyperlink" Target="https://dalil.kg/document/157914" TargetMode="External"/><Relationship Id="rIdlqvznem84ccm4qztqp4qr" Type="http://schemas.openxmlformats.org/officeDocument/2006/relationships/hyperlink" Target="https://dalil.kg/document/97499" TargetMode="External"/><Relationship Id="rIdzsop7xjruijt0-7q6rdl-" Type="http://schemas.openxmlformats.org/officeDocument/2006/relationships/hyperlink" Target="https://dalil.kg/document/203685" TargetMode="External"/><Relationship Id="rIdlmjwov6vxcfvhshgdkzi2" Type="http://schemas.openxmlformats.org/officeDocument/2006/relationships/hyperlink" Target="https://dalil.kg/document/97389" TargetMode="External"/><Relationship Id="rIdtoqwewrhm7vhyg3ofqreb" Type="http://schemas.openxmlformats.org/officeDocument/2006/relationships/hyperlink" Target="https://dalil.kg/document/97390" TargetMode="External"/><Relationship Id="rId4he1yizpiisftjammtmzp" Type="http://schemas.openxmlformats.org/officeDocument/2006/relationships/hyperlink" Target="https://dalil.kg/document/97499" TargetMode="External"/><Relationship Id="rIdwvkndhk5ektzswf48uwuu" Type="http://schemas.openxmlformats.org/officeDocument/2006/relationships/hyperlink" Target="https://dalil.kg/document/95497"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l8e_ilph2apd12tkbjhv" Type="http://schemas.openxmlformats.org/officeDocument/2006/relationships/hyperlink" Target="https://dalil.kg/document/97388" TargetMode="External"/><Relationship Id="rIdvi10bg5c8kgsuttpaepw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2026-09-24T15:04:29.941Z</dcterms:created>
  <dcterms:modified xsi:type="dcterms:W3CDTF">2026-09-24T15:04:29.941Z</dcterms:modified>
</cp:coreProperties>
</file>

<file path=docProps/custom.xml><?xml version="1.0" encoding="utf-8"?>
<Properties xmlns="http://schemas.openxmlformats.org/officeDocument/2006/custom-properties" xmlns:vt="http://schemas.openxmlformats.org/officeDocument/2006/docPropsVTypes"/>
</file>