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ktbtqfimnvl1nykpdkm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апреля 2015 года № 191</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гарантированной государством юридической помощи"</w:t>
      </w:r>
    </w:p>
    <w:p>
      <w:pPr>
        <w:spacing w:after="120"/>
        <w:jc w:val="both"/>
      </w:pPr>
      <w:r>
        <w:rPr>
          <w:rFonts w:ascii="Arial" w:cs="Arial" w:eastAsia="Arial" w:hAnsi="Arial"/>
          <w:sz w:val="24"/>
          <w:szCs w:val="24"/>
        </w:rPr>
        <w:t xml:space="preserve">В соответствии со статьей 31 </w:t>
      </w:r>
      <w:hyperlink w:history="1" r:id="rIdh2zdu-shmyr2ljboqipk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zfe1ipqatf6mtfqvrhama">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гарантированной государством юридической помощи", инициированный депутатами Жогорку Кенеша Кыргызской Республики Текебаевым О.Ч., Тумановым Т.Т., Никитенко Н.В., Абдиевым К.А., Скрипкиной Г.А., Шайназаровым Т.У., Кочкаровой Э.А-А.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jznoe0jvxb_j-d-2o24e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2015 года № 191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гарантированной государством юридической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w:t>
      </w:r>
      <w:hyperlink w:history="1" r:id="rIdkpcbilaepn1bz1jdmoys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гарантированной государством юридической помощи", инициированный депутатами Жогорку Кенеша Кыргызской Республики Текебаевым О.Ч., Тумановым Т.Т., Никитенко Н.В., Абдиевым К.А., Скрипкиной Г.А., Шайназаровым Т.У., Кочкаровой Э.А-А., отмечает следующее.</w:t>
      </w:r>
    </w:p>
    <w:p>
      <w:pPr>
        <w:spacing w:after="120"/>
        <w:jc w:val="both"/>
      </w:pPr>
      <w:r>
        <w:rPr>
          <w:rFonts w:ascii="Arial" w:cs="Arial" w:eastAsia="Arial" w:hAnsi="Arial"/>
          <w:sz w:val="24"/>
          <w:szCs w:val="24"/>
        </w:rPr>
        <w:t xml:space="preserve">Проектом Закона определяются полномочия уполномоченного органа. Вместе с тем, следует отметить, что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противоречит статье 87 </w:t>
      </w:r>
      <w:hyperlink w:history="1" r:id="rIdbiwnbjml1rbkkwowh9pcr">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и статьям 10 и 11 </w:t>
      </w:r>
      <w:hyperlink w:history="1" r:id="rIdrjrtwxzmrkaym0kw_lhvi">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Так, в соответствии со статьей 11 обозначенного </w:t>
      </w:r>
      <w:hyperlink w:history="1" r:id="rIdizjzr4-prfwuywr6jpha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Правительство Кыргызской Республики, исходя из полномочий, указанных в названном конституционном Законе,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а также утверждает положения о названных государственных органах.</w:t>
      </w:r>
    </w:p>
    <w:p>
      <w:pPr>
        <w:spacing w:after="120"/>
        <w:jc w:val="both"/>
      </w:pPr>
      <w:r>
        <w:rPr>
          <w:rFonts w:ascii="Arial" w:cs="Arial" w:eastAsia="Arial" w:hAnsi="Arial"/>
          <w:sz w:val="24"/>
          <w:szCs w:val="24"/>
        </w:rPr>
        <w:t xml:space="preserve">Частью 1 статьи 8 проекта Закона предлагается установить, что право на получение квалифицированной юридической помощи в сфере уголовного судопроизводства предоставляется подозреваемым, обвиняемым, подсудимым, осужденным, оправданным, потерпевшим, годовой доход которых не превышает 12-кратного размера минимальной заработной платы, ежегодно утверждаемого Правительством Кыргызской Республики.</w:t>
      </w:r>
    </w:p>
    <w:p>
      <w:pPr>
        <w:spacing w:after="120"/>
        <w:jc w:val="both"/>
      </w:pPr>
      <w:r>
        <w:rPr>
          <w:rFonts w:ascii="Arial" w:cs="Arial" w:eastAsia="Arial" w:hAnsi="Arial"/>
          <w:sz w:val="24"/>
          <w:szCs w:val="24"/>
        </w:rPr>
        <w:t xml:space="preserve">Вместе с тем необходимо отметить, что согласно статье 2 </w:t>
      </w:r>
      <w:hyperlink w:history="1" r:id="rIdf-3f7f5fdm4z-7mjtld3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минимальной заработной плате в Кыргызской Республике" размер минимальной заработной платы устанавливается законом Кыргызской Республики о республиканском бюджете на соответствующий год, исходя из принципа поэтапного повышения его до величины прожиточного минимума трудоспособного человека.</w:t>
      </w:r>
    </w:p>
    <w:p>
      <w:pPr>
        <w:spacing w:after="120"/>
        <w:jc w:val="both"/>
      </w:pPr>
      <w:r>
        <w:rPr>
          <w:rFonts w:ascii="Arial" w:cs="Arial" w:eastAsia="Arial" w:hAnsi="Arial"/>
          <w:sz w:val="24"/>
          <w:szCs w:val="24"/>
        </w:rPr>
        <w:t xml:space="preserve">Кроме того, вышеуказанный размер годового дохода, предоставляющий право на получение квалифицированной юридической помощи, является очень низким. При этом существует большая вероятность того, что лица, чей годовой доход превышает 12-кратный размер минимальной заработной платы, также не смогут оплатить услуги квалифицированной юридической помощи.</w:t>
      </w:r>
    </w:p>
    <w:p>
      <w:pPr>
        <w:spacing w:after="120"/>
        <w:jc w:val="both"/>
      </w:pPr>
      <w:r>
        <w:rPr>
          <w:rFonts w:ascii="Arial" w:cs="Arial" w:eastAsia="Arial" w:hAnsi="Arial"/>
          <w:sz w:val="24"/>
          <w:szCs w:val="24"/>
        </w:rPr>
        <w:t xml:space="preserve">В этой связи, а также в целях реализации положений части 3 статьи 40 </w:t>
      </w:r>
      <w:hyperlink w:history="1" r:id="rIdjihhr2_gq_zoludp98gc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каждый имеет право на получение квалифицированной юридической помощи, предлагаем предельный размер годового дохода, предоставляющий право воспользоваться квалифицированной юридической помощью, увеличить до 20-кратных размеров минимальной заработной платы и внести соответствующие поправки в часть 1 статьи 8 и пункт 1 части 1 статьи 21 проекта Закона.</w:t>
      </w:r>
    </w:p>
    <w:p>
      <w:pPr>
        <w:spacing w:after="120"/>
        <w:jc w:val="both"/>
      </w:pPr>
      <w:r>
        <w:rPr>
          <w:rFonts w:ascii="Arial" w:cs="Arial" w:eastAsia="Arial" w:hAnsi="Arial"/>
          <w:sz w:val="24"/>
          <w:szCs w:val="24"/>
        </w:rPr>
        <w:t xml:space="preserve">Относительно возможности выделения бюджетных средств, в случае принятия проекта Закона, отмечаем, что на финансирование мероприятий по гарантированной государством юридической помощи Министерству юстиции Кыргызской Республики ежегодно предусматриваются бюджетные средства. Так, в 2014 году, согласно утвержденному плану, на финансирование адвокатской деятельности было предусмотрено 7035,0 тыс. сомов, по уточненному плану - 10552,5 тыс. сомов, фактически на 1 января 2015 года профинансировано 10052,5 тыс. сомов. В 2015 году на указанные цели предусмотрены средства в сумме 10069,5 тыс. сомов.</w:t>
      </w:r>
    </w:p>
    <w:p>
      <w:pPr>
        <w:spacing w:after="120"/>
        <w:jc w:val="both"/>
      </w:pPr>
      <w:r>
        <w:rPr>
          <w:rFonts w:ascii="Arial" w:cs="Arial" w:eastAsia="Arial" w:hAnsi="Arial"/>
          <w:sz w:val="24"/>
          <w:szCs w:val="24"/>
        </w:rPr>
        <w:t xml:space="preserve">Вместе с тем, согласно заключению по финансово-экономической оценке возможных затрат к проекту Закона принятие указанного проекта повлечет дополнительную нагрузку на бюджет в размере 10247,1 тыс. сомов в первый год реализации Закона.</w:t>
      </w:r>
    </w:p>
    <w:p>
      <w:pPr>
        <w:spacing w:after="120"/>
        <w:jc w:val="both"/>
      </w:pPr>
      <w:r>
        <w:rPr>
          <w:rFonts w:ascii="Arial" w:cs="Arial" w:eastAsia="Arial" w:hAnsi="Arial"/>
          <w:sz w:val="24"/>
          <w:szCs w:val="24"/>
        </w:rPr>
        <w:t xml:space="preserve">В свою очередь, в соответствии со статьей 15 </w:t>
      </w:r>
      <w:hyperlink w:history="1" r:id="rIdg77htk54bufy9lac2fvq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производимые в процессе исполнения бюджета расходы не могут превышать их предельные размеры, предусмотренные в бюджетах, утвержденных Жогорку Кенешем Кыргызской Республики, айылными и городскими кенешами. Также, согласно статье 26 </w:t>
      </w:r>
      <w:hyperlink w:history="1" r:id="rIdvahcb_c_oxpj0pxqbhle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Учитывая изложенное, а также ограниченные возможности бюджета, возникает необходимость принятия мер по оптимизации расходов. В связи с этим финансирование проекта Закона полагаем целесообразным осуществлять в рамках предусмотренных </w:t>
      </w:r>
      <w:hyperlink w:history="1" r:id="rIdgzqgwco9tt8caranibnm9">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на 2015 год и прогнозе на 2016-2017 годы" средств.</w:t>
      </w:r>
    </w:p>
    <w:p>
      <w:pPr>
        <w:spacing w:after="120"/>
        <w:jc w:val="both"/>
      </w:pPr>
      <w:r>
        <w:rPr>
          <w:rFonts w:ascii="Arial" w:cs="Arial" w:eastAsia="Arial" w:hAnsi="Arial"/>
          <w:sz w:val="24"/>
          <w:szCs w:val="24"/>
        </w:rPr>
        <w:t xml:space="preserve">Кроме того, обращаем внимание на то, что в проекте Закона на государственном и официальном языках имеются разночтения. Так, в статье 17 проекта Закона на государственном языке предлагается установить обязанности правоохранительных органов в содействии реализации гарантированной государством юридической помощи. Положения, отраженные в указанной статье проекта Закона на государственном языке, отсутствуют в проекте Закона на официальном языке. Вместе с тем, полагаем нецелесообразным закреплять вопросы создания отдельных рабочих кабинетов для адвокатов в правоохранительных органах в рамках проекта Закона. Ввиду чего, статью 17 проекта Закона на государственном языке предлагаем исключить. Разночтения выявлены и в части 1 статьи 8 проекта Закона.</w:t>
      </w:r>
    </w:p>
    <w:p>
      <w:pPr>
        <w:spacing w:after="120"/>
        <w:jc w:val="both"/>
      </w:pPr>
      <w:r>
        <w:rPr>
          <w:rFonts w:ascii="Arial" w:cs="Arial" w:eastAsia="Arial" w:hAnsi="Arial"/>
          <w:sz w:val="24"/>
          <w:szCs w:val="24"/>
        </w:rPr>
        <w:t xml:space="preserve">В части 2 статьи 20 проекта Закона слова "налоговой инспекции" предлагаем заменить словами "налоговые органы".</w:t>
      </w:r>
    </w:p>
    <w:p>
      <w:pPr>
        <w:spacing w:after="120"/>
        <w:jc w:val="both"/>
      </w:pPr>
      <w:r>
        <w:rPr>
          <w:rFonts w:ascii="Arial" w:cs="Arial" w:eastAsia="Arial" w:hAnsi="Arial"/>
          <w:sz w:val="24"/>
          <w:szCs w:val="24"/>
        </w:rPr>
        <w:t xml:space="preserve">В части 1 статьи 25 проекта Закона предлагаем уточнить ссылку на пункт 1 статьи 23 проекта Закона, поскольку структурными элементами названной статьи являются части. При этом обращаем внимание на то, что в свою очередь часть 1 статьи 23 проекта Закона состоит из трех пунктов.</w:t>
      </w:r>
    </w:p>
    <w:p>
      <w:pPr>
        <w:spacing w:after="120"/>
        <w:jc w:val="both"/>
      </w:pPr>
      <w:r>
        <w:rPr>
          <w:rFonts w:ascii="Arial" w:cs="Arial" w:eastAsia="Arial" w:hAnsi="Arial"/>
          <w:sz w:val="24"/>
          <w:szCs w:val="24"/>
        </w:rPr>
        <w:t xml:space="preserve">Дополнительно отмечаем, что в соответствии со статьей 17 </w:t>
      </w:r>
      <w:hyperlink w:history="1" r:id="rIdatuwlv-kpdjwb222u9ee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при принятии нормативного правового акта в новой редакции действующий нормативный правовой акт одновременно подлежит признанию утратившим силу. В связи с этим заключительные положения проекта Закона предлагаем дополнить нормами о признании утратившим силу действующего </w:t>
      </w:r>
      <w:hyperlink w:history="1" r:id="rIdioovf0mfyzg-1ltcvjkp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гарантированной государством юридической помощи".</w:t>
      </w:r>
    </w:p>
    <w:p>
      <w:pPr>
        <w:spacing w:after="120"/>
        <w:jc w:val="both"/>
      </w:pPr>
      <w:r>
        <w:rPr>
          <w:rFonts w:ascii="Arial" w:cs="Arial" w:eastAsia="Arial" w:hAnsi="Arial"/>
          <w:sz w:val="24"/>
          <w:szCs w:val="24"/>
        </w:rPr>
        <w:t xml:space="preserve">Частью 2 статьи 26 проекта Закона Правительству Кыргызской Республики дается поручение создать Центр по координации гарантированной государством юридической помощи.</w:t>
      </w:r>
    </w:p>
    <w:p>
      <w:pPr>
        <w:spacing w:after="120"/>
        <w:jc w:val="both"/>
      </w:pPr>
      <w:r>
        <w:rPr>
          <w:rFonts w:ascii="Arial" w:cs="Arial" w:eastAsia="Arial" w:hAnsi="Arial"/>
          <w:sz w:val="24"/>
          <w:szCs w:val="24"/>
        </w:rPr>
        <w:t xml:space="preserve">Вместе с тем, проект Закона не определяет правовой статус названного Центра, а именно, будет ли он являться подведомственным или структурным подразделением Министерства юстиции Кыргызской Республики. При этом информируем, что согласно статье 10 </w:t>
      </w:r>
      <w:hyperlink w:history="1" r:id="rIdnl-fzo7-zovy_ybpp7kl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утверждает схемы управления министерств и ведомств. В свою очередь государственные органы, в соответствии с законодательством Кыргызской Республики, самостоятельно определяют структуру своего аппарата.</w:t>
      </w:r>
    </w:p>
    <w:p>
      <w:pPr>
        <w:spacing w:after="120"/>
        <w:jc w:val="both"/>
      </w:pPr>
      <w:r>
        <w:rPr>
          <w:rFonts w:ascii="Arial" w:cs="Arial" w:eastAsia="Arial" w:hAnsi="Arial"/>
          <w:sz w:val="24"/>
          <w:szCs w:val="24"/>
        </w:rPr>
        <w:t xml:space="preserve">Кроме того, отмечаем, что абзацем третьим части 2 статьи 26 проекта Закона Правительству Кыргызской Республики поручено принять соответствующие меры, направленные на обеспечение реализации положений Закона. Соответственно, положения указанного абзаца поглощают положения абзаца второго части 2 статьи 26 проекта Закона.</w:t>
      </w:r>
    </w:p>
    <w:p>
      <w:pPr>
        <w:spacing w:after="120"/>
        <w:jc w:val="both"/>
      </w:pPr>
      <w:r>
        <w:rPr>
          <w:rFonts w:ascii="Arial" w:cs="Arial" w:eastAsia="Arial" w:hAnsi="Arial"/>
          <w:sz w:val="24"/>
          <w:szCs w:val="24"/>
        </w:rPr>
        <w:t xml:space="preserve">В этой связи абзац второй части 2 статьи 26 проекта Закона предлагаем исключить.</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гарантированной государством юридической помощи", с учетом указанных замечаний и предложений.</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ktbtqfimnvl1nykpdkmo" Type="http://schemas.openxmlformats.org/officeDocument/2006/relationships/hyperlink" Target="http://kodeks.duckdns.org/document/159126" TargetMode="External"/><Relationship Id="rIdh2zdu-shmyr2ljboqipkr" Type="http://schemas.openxmlformats.org/officeDocument/2006/relationships/hyperlink" Target="http://kodeks.duckdns.org/document/203685" TargetMode="External"/><Relationship Id="rIdzfe1ipqatf6mtfqvrhama" Type="http://schemas.openxmlformats.org/officeDocument/2006/relationships/hyperlink" Target="http://kodeks.duckdns.org/document/97437#p1" TargetMode="External"/><Relationship Id="rIdjznoe0jvxb_j-d-2o24ej" Type="http://schemas.openxmlformats.org/officeDocument/2006/relationships/hyperlink" Target="http://kodeks.duckdns.org/document/97437" TargetMode="External"/><Relationship Id="rIdkpcbilaepn1bz1jdmoysc" Type="http://schemas.openxmlformats.org/officeDocument/2006/relationships/hyperlink" Target="http://kodeks.duckdns.org/document/203685" TargetMode="External"/><Relationship Id="rIdbiwnbjml1rbkkwowh9pcr" Type="http://schemas.openxmlformats.org/officeDocument/2006/relationships/hyperlink" Target="http://kodeks.duckdns.org/document/4" TargetMode="External"/><Relationship Id="rIdrjrtwxzmrkaym0kw_lhvi" Type="http://schemas.openxmlformats.org/officeDocument/2006/relationships/hyperlink" Target="http://kodeks.duckdns.org/document/203685" TargetMode="External"/><Relationship Id="rIdizjzr4-prfwuywr6jphar" Type="http://schemas.openxmlformats.org/officeDocument/2006/relationships/hyperlink" Target="http://kodeks.duckdns.org/document/203685" TargetMode="External"/><Relationship Id="rIdf-3f7f5fdm4z-7mjtld33" Type="http://schemas.openxmlformats.org/officeDocument/2006/relationships/hyperlink" Target="http://kodeks.duckdns.org/document/202425" TargetMode="External"/><Relationship Id="rIdjihhr2_gq_zoludp98gcq" Type="http://schemas.openxmlformats.org/officeDocument/2006/relationships/hyperlink" Target="http://kodeks.duckdns.org/document/202913" TargetMode="External"/><Relationship Id="rIdg77htk54bufy9lac2fvqr" Type="http://schemas.openxmlformats.org/officeDocument/2006/relationships/hyperlink" Target="http://kodeks.duckdns.org/document/86" TargetMode="External"/><Relationship Id="rIdvahcb_c_oxpj0pxqbhlet" Type="http://schemas.openxmlformats.org/officeDocument/2006/relationships/hyperlink" Target="http://kodeks.duckdns.org/document/202591" TargetMode="External"/><Relationship Id="rIdgzqgwco9tt8caranibnm9" Type="http://schemas.openxmlformats.org/officeDocument/2006/relationships/hyperlink" Target="http://kodeks.duckdns.org/document/205397" TargetMode="External"/><Relationship Id="rIdatuwlv-kpdjwb222u9eec" Type="http://schemas.openxmlformats.org/officeDocument/2006/relationships/hyperlink" Target="http://kodeks.duckdns.org/document/202591" TargetMode="External"/><Relationship Id="rIdioovf0mfyzg-1ltcvjkpq" Type="http://schemas.openxmlformats.org/officeDocument/2006/relationships/hyperlink" Target="http://kodeks.duckdns.org/document/203186" TargetMode="External"/><Relationship Id="rIdnl-fzo7-zovy_ybpp7klr" Type="http://schemas.openxmlformats.org/officeDocument/2006/relationships/hyperlink" Target="http://kodeks.duckdns.org/document/203685"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2026-09-23T10:25:52.752Z</dcterms:created>
  <dcterms:modified xsi:type="dcterms:W3CDTF">2026-09-23T10:25:52.752Z</dcterms:modified>
</cp:coreProperties>
</file>

<file path=docProps/custom.xml><?xml version="1.0" encoding="utf-8"?>
<Properties xmlns="http://schemas.openxmlformats.org/officeDocument/2006/custom-properties" xmlns:vt="http://schemas.openxmlformats.org/officeDocument/2006/docPropsVTypes"/>
</file>