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2015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Положения о пунктах пропуска через государственную границу Кыргызской Республики" от 7 октября 2004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гармонизации требований к оснащению пунктов пропуска через государственную границу Кыргызской Республики, руководствуясь статьями 10 и 17 </w:t>
      </w:r>
      <w:hyperlink w:history="1" r:id="rIda6m8gxyz3dpmrwsrvwe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hdsmzw65v3seusufdh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пунктах пропуска через государственную границу Кыргызской Республики, утвержденное </w:t>
      </w:r>
      <w:hyperlink w:history="1" r:id="rIdunc5hzmval4yqmuvsdl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9gp8e9endrspti8psi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пунктах пропуска через государственную границу Кыргызской Республики" от 7 октября 2004 года № 739,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1.4.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каждый пункт пропуска через государственную границу Кыргызской Республики составляется паспорт пункта пропуска в соответствии с приложением к настоящему Положению.";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mlztiydmjyz7asrgnr2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g4a42mytjo3unxvrziu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-x1d9l9olhejg4ykmkp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
 к Положению о пунктах пропуска через государственную границу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</w:t>
      </w:r>
      <w:r>
        <w:rPr>
          <w:rFonts w:ascii="Arial" w:cs="Arial" w:eastAsia="Arial" w:hAnsi="Arial"/>
          <w:sz w:val="24"/>
          <w:szCs w:val="24"/>
        </w:rPr>
        <w:t xml:space="preserve">
 пункта пропуска
 ___________________________________
 (наименование пункта пропуска)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6"/>
        <w:gridCol w:w="4586"/>
        <w:gridCol w:w="4586"/>
      </w:tblGrid>
      <w:tr>
        <w:tc>
          <w:tcPr>
            <w:tcW w:type="dxa" w:w="10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1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данные</w:t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принадлежность пункта пропуска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сопредельное государство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пункта пропуска на сопредельной стороне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установления, открытия пункта пропуска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пункта пропуска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(место фактического расположения) пункта пропуска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юридическое лицо, ответственное за эксплуатацию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удаленность пункта пропуска от внешней границы Таможенного союза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по характеру международного сообщения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по виду международного сообщения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по порядку функционирования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по кругу лиц, транспортных средств и товаров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(распорядок) работы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1.14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специализация пункта пропуска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1.15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технологической системы двойного коридора ("красный" и "зеленый" каналы)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1.16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проектная пропускная способность: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1.17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систем государственного контроля в пунктах пропуска</w:t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паспортного контроля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бесконтактного измерения температуры тела лиц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осмотра (досмотра) багажа и ручной клади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осмотра (досмотра) транспортных средств и товаров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индивидуальной досмотровой комнаты (ИДК)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электронного учета автотранспортных средств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автоматического (поосного) определения весовых параметров и габаритных размеров автотранспортных средств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радиационного контроля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обнаружения оружия, наркотиков и других товаров, запрещенных к ввозу, вывозу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специальной, телефонной, радио и иной связи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телевизионного (видео) наблюдения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пожарной сигнализации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инженерных средств охраны, контроля доступом и охранной сигнализации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интегрированная информационная система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сбора и утилизации биологических отходов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2.16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очистки и дезинфекции транспортных средств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2.17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обеззараживания подкарантинной продукции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2.18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часофикация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2.19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резервного питания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об организациях, осуществляемых свою деятельность в пункте пропуска, реквизиты, контактная информация (тел., факс, e-mail, другая информация)</w:t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государственного контроля: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таможенный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санитарно-карантинный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карантинный фитосанитарный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транспортный контроль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lg5n6ue0towrich7m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dalil.kg/document/97465</w:t>
      </w:r>
    </w:hyperlink>
  </w:p>
  <w:p>
    <w:pPr>
      <w:spacing w:after="0" w:before="40"/>
      <w:jc w:val="center"/>
    </w:pPr>
    <w:hyperlink w:history="1" r:id="rIdpl9fjwxn9d5aec1znv_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m8gxyz3dpmrwsrvwel_" Type="http://schemas.openxmlformats.org/officeDocument/2006/relationships/hyperlink" Target="https://dalil.kg/document/203685" TargetMode="External"/><Relationship Id="rIdxhdsmzw65v3seusufdhn2" Type="http://schemas.openxmlformats.org/officeDocument/2006/relationships/hyperlink" Target="https://dalil.kg/document/54451" TargetMode="External"/><Relationship Id="rIdunc5hzmval4yqmuvsdlsi" Type="http://schemas.openxmlformats.org/officeDocument/2006/relationships/hyperlink" Target="https://dalil.kg/document/55909" TargetMode="External"/><Relationship Id="rIdl9gp8e9endrspti8psion" Type="http://schemas.openxmlformats.org/officeDocument/2006/relationships/hyperlink" Target="https://dalil.kg/document/54451" TargetMode="External"/><Relationship Id="rIdmlztiydmjyz7asrgnr2in" Type="http://schemas.openxmlformats.org/officeDocument/2006/relationships/hyperlink" Target="https://dalil.kg/document/54451#p1" TargetMode="External"/><Relationship Id="rIdg4a42mytjo3unxvrziupg" Type="http://schemas.openxmlformats.org/officeDocument/2006/relationships/hyperlink" Target="https://dalil.kg/document/97465#p1" TargetMode="External"/><Relationship Id="rId-x1d9l9olhejg4ykmkpxx" Type="http://schemas.openxmlformats.org/officeDocument/2006/relationships/hyperlink" Target="https://dalil.kg/document/974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lg5n6ue0towrich7myn" Type="http://schemas.openxmlformats.org/officeDocument/2006/relationships/hyperlink" Target="https://dalil.kg/document/97465" TargetMode="External"/><Relationship Id="rIdpl9fjwxn9d5aec1znv_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2026-09-24T10:00:44.835Z</dcterms:created>
  <dcterms:modified xsi:type="dcterms:W3CDTF">2026-09-24T10:00:44.835Z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