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tlflckm8dwt5sih5_e5c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от 1 апреля 2026 года № 211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апреля 2015 года № 224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минимальных требований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листингу ценных бумаг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wuzjzwysmvjdefhtlvur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января 2018 года № 22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aupgkyaco9k59-7e-nq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января 2019 года № 24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</w:t>
      </w:r>
      <w:hyperlink w:history="1" r:id="rIdrdx4cjgvkglv1jvgsqb1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мая 2023 года № 266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50 </w:t>
      </w:r>
      <w:hyperlink w:history="1" r:id="rIdq-gffxrfkjxau-uc7kxu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рынке ценных бумаг» Правительство Кыргызской Республики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минимальные требования к листингу ценных бумаг в Кыргызской Республике согласно </w:t>
      </w:r>
      <w:hyperlink w:history="1" r:id="rId2zntbqjjuzvxtb5esmhe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МИНИМАЛЬНЫЕ ТРЕБОВАНИЯ
 к листингу ценных бумаг в Кыргызской Республике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7ohkbkprjk9tvj3l3eov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января 2019 года № 24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liiapvnotkppl65xej1m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мая 2023 года № 266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требования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Листинг представляет собой процедуру включения ценных бумаг в особый список фондовой биржи, который состоит не менее чем из двух категорий: первая (наивысшая) категория и вторая (следующая за наивысшей) категория.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Фондовая биржа вправе устанавливать дополнительно требования к ценным бумагам и их эмитентам, включаемым по наивысшей и следующей за наивысшей категориям листинга в соответствии с нормативными правовыми актами Кыргызской Республики. Требования к ценным бумагам и их эмитентам, включаемым в иные, чем в первую (наивысшую) и вторую (следующую за наивысшей) категории листинга, устанавливаются внутренними документами фондовой биржи.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Выпущенные органами местного самоуправления долговые ценные бумаги включаются в листинг ценных бумаг фондовой биржи во вторую (следующей за наивысшей) категорию с соблюдением требований, указанных в </w:t>
      </w:r>
      <w:hyperlink w:history="1" r:id="rIdy7zyftqnhxdnu556ayrg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главе 3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настоящих минимальных требований.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Ценные бумаги эмитируемые Министерством финансов Кыргызской Республики, при их размещении и обращении на фондовой бирже, включаются в листинг ценных бумаг фондовой биржи в первую (наивысшую) категорию, при условии соблюдения требований, указанных в </w:t>
      </w:r>
      <w:r>
        <w:rPr>
          <w:rFonts w:ascii="Arial" w:cs="Arial" w:eastAsia="Arial" w:hAnsi="Arial"/>
          <w:sz w:val="24"/>
          <w:szCs w:val="24"/>
        </w:rPr>
        <w:t xml:space="preserve">главе 3</w:t>
      </w:r>
      <w:r>
        <w:rPr>
          <w:rFonts w:ascii="Arial" w:cs="Arial" w:eastAsia="Arial" w:hAnsi="Arial"/>
          <w:sz w:val="24"/>
          <w:szCs w:val="24"/>
        </w:rPr>
        <w:t xml:space="preserve"> настоящих минимальных требований.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se54gjn45pmp4zrbcivk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января 2018 года № 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</w:t>
      </w:r>
      <w:hyperlink w:history="1" r:id="rId5nmlyu3bm1r8zo8zgpef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мая 2023 года № 266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Требования, предъявляемые к эмитенту и его ценным бумагам при их листинге, не распространяются на ценные бумаги, выпускаемые Национальным банком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 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18 мая 2023 года № 266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Основные используемые понятия: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листинговые требования фондовой биржи</w:t>
      </w:r>
      <w:r>
        <w:rPr>
          <w:rFonts w:ascii="Arial" w:cs="Arial" w:eastAsia="Arial" w:hAnsi="Arial"/>
          <w:sz w:val="24"/>
          <w:szCs w:val="24"/>
        </w:rPr>
        <w:t xml:space="preserve"> - совокупность критериев и норм, которым должен соответствовать эмитент, подавший заявку на прохождение листинга, либо эмитент, прошедший такую процедуру, ценные бумаги которого включены в особый список фондовой биржи;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особый список фондовой биржи</w:t>
      </w:r>
      <w:r>
        <w:rPr>
          <w:rFonts w:ascii="Arial" w:cs="Arial" w:eastAsia="Arial" w:hAnsi="Arial"/>
          <w:sz w:val="24"/>
          <w:szCs w:val="24"/>
        </w:rPr>
        <w:t xml:space="preserve"> - документ биржи, в котором ценные бумаги, прошедшие процедуру листинга, отнесены к соответствующим категориям листинга;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делистинг</w:t>
      </w:r>
      <w:r>
        <w:rPr>
          <w:rFonts w:ascii="Arial" w:cs="Arial" w:eastAsia="Arial" w:hAnsi="Arial"/>
          <w:sz w:val="24"/>
          <w:szCs w:val="24"/>
        </w:rPr>
        <w:t xml:space="preserve"> - процедура исключения ценных бумаг из особого списка фондовой биржи.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Правила делистинга устанавливаются фондовой биржей.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f5nwwv7f5f6h7u8pbusb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января 2019 года № 24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Для нахождения в листинге ценных бумаг фондовой биржи в первой (наивысшей) категории и второй (следующую за наивысшей) категории (в т.ч. включенным) эмитент должен являться юридическим лицом Кыргызской Республики, осуществляющим свою деятельность в организационно-правовой форме акционерного общества или общества с ограниченной деятельностью, либо если, эмитент зарегистрирован в качестве юридического лица за пределами Кыргызской Республики, обладает в соответствии с законодательством страны, где он зарегистрирован, юридическим статусом, эквивалентным открытому акционерному обществу согласно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нахождения в листинге ценных бумаг фондовой биржи муниципальных ценных бумаг во второй (следующей за наивысшей) категории эмитентом является орган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Управляющая компания паевого инвестиционного фонда может осуществлять деятельность в иной организационно-правовой форме, чем акционерное общество.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нахождения в листинге ценных бумаг фондовой биржи государственных ценных бумаг в первой (наивысшей) категории эмитентом является Министерство финансов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fsswmmt8grp3r0av3wrt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января 2018 года № 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</w:t>
      </w:r>
      <w:hyperlink w:history="1" r:id="rIdwamfnlgkwr4zxqqvbxe9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мая 2023 года № 266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 соответствии эмитента требованиям листинга более высокой категории листинга ценных бумаг фондовой биржи его ценные бумаги могут быть переведены в более высокую категорию листинга.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случае, если эмитент перестает отвечать требованиям листинга той категории листинга ценных бумаг фондовой биржи, в которую включены его ценные бумаги, то такие ценные бумаги должны быть переведены в более низкую категорию листинга, либо подвергнуты процедуре делистинга.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Требования к акциям и их эмитентам, включаемым и включенным в листинг ценных бумаг фондовой биржи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Для нахождения акций эмитента в первой (наивысшей) категории листинга фондовой биржи данные ценные бумаги и их эмитент должны соответствовать следующим требованиям: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государственная регистрация эмитента осуществлена не менее чем за три года до подачи заявления о включении его ценных бумаг в листинг ценных бумаг фондовой биржи;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эмитент должен функционировать в форме акционерного общества и соответствовать требованиям законодательства Кыргызской Республики для публичных компаний;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собственный капитал эмитента должен быть не менее 300 млн.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эмитент должен быть безубыточным за последний отчетный год или по сумме трех последних лет;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эмитент должен составлять свою финансовую отчетность в соответствии с Международными стандартами финансовой отчетности. Финансовая отчетность должна подтверждаться заключением независимой аудиторской организации (компании).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Для нахождения акций эмитента во второй (следующей за наивысшей) категории листинга фондовой биржи данные ценные бумаги и их эмитенты должны соответствовать следующим требованиям: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государственная регистрация эмитента осуществлена не менее чем за один год до подачи заявления о включении его ценных бумаг в листинг ценных бумаг фондовой биржи. Если эмитент был создан в результате реорганизации, в срок его существования засчитывается срок с момента создания юридического лица (лиц), в результате реорганизации которого (которых) был создан эмитент;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эмитент должен функционировать в форме акционерного общества и соответствовать требованиям законодательства Кыргызской Республики для публичных компаний;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собственный капитал эмитента должен быть не менее 50 млн.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эмитент должен быть безубыточным за последний отчетный год или по сумме двух последних лет;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эмитент должен составлять свою финансовую отчетность в соответствии с Международными стандартами финансовой отчетности. Финансовая отчетность должна подтверждаться заключением независимой аудиторской организации (компании).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Требования к долговым ценным бумагам и их эмитентам, включаемым и включенным в листинг ценных бумаг фондовой биржи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Для нахождения долговых ценных бумаг эмитента в первой (наивысшей) категории листинга фондовой биржи долговые ценные бумаги и их эмитент должны соответствовать следующим требованиям: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государственная регистрация эмитента осуществлена не менее чем за три года до подачи заявления о включении его ценных бумаг в листинг ценных бумаг фондовой биржи;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эмитент должен функционировать в форме акционерного общества или общества с ограниченной ответственностью и соответствовать требованиям законодательства Кыргызской Республики для публичных компаний;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собственный капитал эмитента должен быть не менее 300 млн.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эмитент должен быть безубыточным за последний отчетный год или по сумме трех последних лет;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эмитент должен составлять свою финансовую отчетность в соответствии с Международными стандартами финансовой отчетности. Финансовая отчетность должна подтверждаться заключением независимой аудиторской организации (компании).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Для включения государственных ценных бумаг в первую (наивысшую) категорию листинга ценные бумаги и их эмитент должны соответствовать следующим требованиям: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эмитентом не должны устанавливаться какие-либо условия, ограничивающие свободную продажу выпущенных им ценных бумаг;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эмитент не должен иметь просроченных обязательств по погашению либо по купонным выплатам в отношении ценных бумаг.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umcof1dlq3by6zspyq2e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мая 2023 года № 266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Для нахождения долговых ценных бумаг эмитента во второй (следующей за наивысшей) категории листинга фондовой биржи данные ценные бумаги и их эмитент должны соответствовать следующим требованиям: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государственная регистрация эмитента осуществлена не менее чем за один год до подачи заявления о включении его ценных бумаг в листинг ценных бумаг фондовой биржи;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эмитент должен функционировать в форме акционерного общества или общества с ограниченной ответственностью и соответствовать требованиям законодательства Кыргызской Республики для публичных компаний;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собственный капитал эмитента, определяемого согласно нормам законодательства и нормативных правовых, актов Кыргызской Республики, должен быть не менее 50 млн.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эмитент должен быть безубыточным за последний отчетный год или по сумме двух последних лет;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эмитент должен составлять свою финансовую отчетность в соответствии с Международными стандартами финансовой отчетности. Финансовая отчетность должна подтверждаться заключением независимой аудиторской организации (компании).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9-1. Для нахождения долговых ценных бумаг эмитента во второй (следующей за наивысшей) категории листинга фондовой биржи долговые ценные бумаги и их эмитент должны соответствовать следующим требованиям: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объем выпуска долговых ценных бумаг, выпущенных органами местного самоуправления должен, составлять не менее 1 млн.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обязательства по погашению долговых ценных бумаг, включая предстоящие обязательства органа местного самоуправления, не должны превышать 20 процентов от объема годового дохода местного самоуправления без учета средств, привлеченных в результате займа;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номинальная стоимость долговых ценных бумаг выпущенных органами местного самоуправления, должна составлять: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проведении аукциона не менее 10 расчетных показателей;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частной эмиссии (персональное предложение) не менее 100 расчетных показателей.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le7wi_4guwvnbooajyoz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января 2018 года № 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Требования для ценных бумаг инвестиционных фондов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Для нахождения ценных бумаг инвестиционного фонда в первой (наивысшей) категории листинга фондовой биржи данные ценные бумаги и их эмитент должны соответствовать следующим требованиям: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управляющая компания паевого инвестиционного фонда или акционерный инвестиционный фонд должен быть зарегистрирован в соответствии с законодательством Кыргызской Республики не менее чем за три года до подачи заявления о включении его ценных бумаг в листинг ценных бумаг фондовой биржи;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стоимость чистых активов акционерного и паевого инвестиционного фонда должен быть не менее 50 млн.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собственный капитал управляющей компании паевого инвестиционного фонда должен быть не менее 30 млн.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управляющая компания паевого инвестиционного фонда или акционерный инвестиционный фонд должен быть безубыточным по итогам последнего отчетного года или за период по сумме трех последних лет;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акционерный инвестиционный фонд должен составлять свою финансовую отчетность в соответствии с Международными стандартами финансовой отчетности. Финансовая отчетность должна подтверждаться заключением независимой аудиторской организации (компании).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Для нахождения ценных бумаг инвестиционного фонда во второй (следующей за наивысшей) категории листинга фондовой биржи данные ценные бумаги и их эмитент должны соответствовать следующим требованиям: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управляющая компания паевого инвестиционного фонда или акционерный инвестиционный фонд должен быть зарегистрирован в соответствии с законодательством Кыргызской Республики не менее чем за три месяца до подачи заявления о включении его ценных бумаг в листинг ценных бумаг фондовой биржи;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стоимость чистых активов акционерного и паевого инвестиционного фонда должен быть не менее 10 млн.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собственный капитал управляющей компании паевого инвестиционного фонда должен быть не менее 10 млн.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управляющая компания паевого инвестиционного фонда или акционерный инвестиционный фонд должен быть безубыточным по итогам последнего отчетного периода (года и/или квартала);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акционерный инвестиционный фонд должен составлять свою финансовую отчетность в соответствии с Международными стандартами финансовой отчетности. Финансовая отчетность должна подтверждаться заключением независимой аудиторской организации (компании).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lflckm8dwt5sih5_e5c4" Type="http://schemas.openxmlformats.org/officeDocument/2006/relationships/hyperlink" Target="http://kodeks.duckdns.org/document/230043864" TargetMode="External"/><Relationship Id="rIdwuzjzwysmvjdefhtlvuro" Type="http://schemas.openxmlformats.org/officeDocument/2006/relationships/hyperlink" Target="http://kodeks.duckdns.org/document/11685" TargetMode="External"/><Relationship Id="rIdpaupgkyaco9k59-7e-nq9" Type="http://schemas.openxmlformats.org/officeDocument/2006/relationships/hyperlink" Target="http://kodeks.duckdns.org/document/12919" TargetMode="External"/><Relationship Id="rIdrdx4cjgvkglv1jvgsqb18" Type="http://schemas.openxmlformats.org/officeDocument/2006/relationships/hyperlink" Target="http://kodeks.duckdns.org/document/230000383" TargetMode="External"/><Relationship Id="rIdq-gffxrfkjxau-uc7kxui" Type="http://schemas.openxmlformats.org/officeDocument/2006/relationships/hyperlink" Target="http://kodeks.duckdns.org/document/202677" TargetMode="External"/><Relationship Id="rId2zntbqjjuzvxtb5esmhec" Type="http://schemas.openxmlformats.org/officeDocument/2006/relationships/hyperlink" Target="http://kodeks.duckdns.org/document/97473#p1" TargetMode="External"/><Relationship Id="rId7ohkbkprjk9tvj3l3eovp" Type="http://schemas.openxmlformats.org/officeDocument/2006/relationships/hyperlink" Target="http://kodeks.duckdns.org/document/12919" TargetMode="External"/><Relationship Id="rIdliiapvnotkppl65xej1mq" Type="http://schemas.openxmlformats.org/officeDocument/2006/relationships/hyperlink" Target="http://kodeks.duckdns.org/document/230000383" TargetMode="External"/><Relationship Id="rIdy7zyftqnhxdnu556ayrgl" Type="http://schemas.openxmlformats.org/officeDocument/2006/relationships/hyperlink" Target="http://kodeks.duckdns.org/document/97473#gl3" TargetMode="External"/><Relationship Id="rIdse54gjn45pmp4zrbcivkb" Type="http://schemas.openxmlformats.org/officeDocument/2006/relationships/hyperlink" Target="http://kodeks.duckdns.org/document/11685" TargetMode="External"/><Relationship Id="rId5nmlyu3bm1r8zo8zgpefr" Type="http://schemas.openxmlformats.org/officeDocument/2006/relationships/hyperlink" Target="http://kodeks.duckdns.org/document/230000383" TargetMode="External"/><Relationship Id="rIdf5nwwv7f5f6h7u8pbusbu" Type="http://schemas.openxmlformats.org/officeDocument/2006/relationships/hyperlink" Target="http://kodeks.duckdns.org/document/12919" TargetMode="External"/><Relationship Id="rIdfsswmmt8grp3r0av3wrto" Type="http://schemas.openxmlformats.org/officeDocument/2006/relationships/hyperlink" Target="http://kodeks.duckdns.org/document/11685" TargetMode="External"/><Relationship Id="rIdwamfnlgkwr4zxqqvbxe9p" Type="http://schemas.openxmlformats.org/officeDocument/2006/relationships/hyperlink" Target="http://kodeks.duckdns.org/document/230000383" TargetMode="External"/><Relationship Id="rIdumcof1dlq3by6zspyq2er" Type="http://schemas.openxmlformats.org/officeDocument/2006/relationships/hyperlink" Target="http://kodeks.duckdns.org/document/230000383" TargetMode="External"/><Relationship Id="rIdle7wi_4guwvnbooajyozc" Type="http://schemas.openxmlformats.org/officeDocument/2006/relationships/hyperlink" Target="http://kodeks.duckdns.org/document/11685" TargetMode="External"/><Relationship Id="rId7" Type="http://schemas.openxmlformats.org/officeDocument/2006/relationships/image" Target="media/93bec1c1538034512fe33c1434ae0ea86b639d33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2026-09-23T14:06:08.008Z</dcterms:created>
  <dcterms:modified xsi:type="dcterms:W3CDTF">2026-09-23T14:06:08.008Z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