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 от 2 марта 2002 года № 29                       ЗАКОН КЫРГЫЗСКОЙ РЕСПУБЛИКИ                     О толковании абзаца 19 статьи 2                     Закона Кыргызской Республики                  "О банкротстве (несостоятельности)"     Принят Законодательным собранием    Жогорку Кенеша Кыргызской Республики           5 февраля 2002 года            (В редакции Закона КР от </w:t>
      </w:r>
      <w:hyperlink w:history="1" r:id="rIdinc98wp5v85dnmlf7t3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2005 года №97</w:t>
        </w:r>
      </w:hyperlink>
      <w:r>
        <w:rPr>
          <w:rFonts w:ascii="Arial" w:cs="Arial" w:eastAsia="Arial" w:hAnsi="Arial"/>
          <w:sz w:val="24"/>
          <w:szCs w:val="24"/>
        </w:rPr>
        <w:t xml:space="preserve">)     Статья 1.     Абзац  19  статьи  2 Закона Кыргызской Республики  "О  банкротстве(несостоятельности)" (Ведомости Жогорку Кенеша Кыргызской  Республики,1997  г., N 11, ст.537) определяет, что в ликвидационную массу  входятвсе  активы  должника, отраженные в его балансе,  без  учета  активов,указанных    в    Законе   Кыргызской   Республики   "О    банкротстве(несостоятельности)" (являющихся предметом залога, лизинга, изъятых изоборота,   активов   индивидуального  предпринимателя,  на  которые  всоответствии  с законодательством не может быть обращено  взыскание  ит.д.).   (В редакции Закона КР от </w:t>
      </w:r>
      <w:hyperlink w:history="1" r:id="rIdn85sevgkecnxlzd6n3p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2005 года №97</w:t>
        </w:r>
      </w:hyperlink>
      <w:r>
        <w:rPr>
          <w:rFonts w:ascii="Arial" w:cs="Arial" w:eastAsia="Arial" w:hAnsi="Arial"/>
          <w:sz w:val="24"/>
          <w:szCs w:val="24"/>
        </w:rPr>
        <w:t xml:space="preserve">)     Статья 2.     Настоящий Закон вступает в силу с момента опубликования.     Президент Кыргызской Республики                А.Акаев     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nc98wp5v85dnmlf7t3ph" Type="http://schemas.openxmlformats.org/officeDocument/2006/relationships/hyperlink" Target="http://kodeks.duckdns.org/document/1695" TargetMode="External"/><Relationship Id="rIdn85sevgkecnxlzd6n3pzc" Type="http://schemas.openxmlformats.org/officeDocument/2006/relationships/hyperlink" Target="http://kodeks.duckdns.org/document/169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2026-09-23T07:48:18.276Z</dcterms:created>
  <dcterms:modified xsi:type="dcterms:W3CDTF">2026-09-23T07:48:18.276Z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