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sfnirjctgh2ucx1wwxo-">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от 26 апреля 2016 года № 215</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25 мая 2015 года № 319</w:t>
      </w:r>
    </w:p>
    <w:p>
      <w:pPr>
        <w:spacing w:after="480" w:before="2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2015/2016 года</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awvaoqoiotny-cupyktoa">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92ad4hn3-8lve1kz5c6b">
        <w:r>
          <w:rPr>
            <w:rFonts w:ascii="Arial" w:cs="Arial" w:eastAsia="Arial" w:hAnsi="Arial"/>
            <w:color w:val="1D4ED8"/>
            <w:sz w:val="24"/>
            <w:szCs w:val="24"/>
            <w:u w:val="single"/>
          </w:rPr>
          <w:t xml:space="preserve">12 октября 2015 года № 704</w:t>
        </w:r>
      </w:hyperlink>
      <w:r>
        <w:rPr>
          <w:rFonts w:ascii="Arial" w:cs="Arial" w:eastAsia="Arial" w:hAnsi="Arial"/>
          <w:sz w:val="24"/>
          <w:szCs w:val="24"/>
        </w:rPr>
        <w:t xml:space="preserve">, </w:t>
      </w:r>
      <w:hyperlink w:history="1" r:id="rIdcdojq7z3cl1b8kmskzd9s">
        <w:r>
          <w:rPr>
            <w:rFonts w:ascii="Arial" w:cs="Arial" w:eastAsia="Arial" w:hAnsi="Arial"/>
            <w:color w:val="1D4ED8"/>
            <w:sz w:val="24"/>
            <w:szCs w:val="24"/>
            <w:u w:val="single"/>
          </w:rPr>
          <w:t xml:space="preserve">14 марта 2016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2015/2016 года, в соответствии со статьями 10 и 17 </w:t>
      </w:r>
      <w:hyperlink w:history="1" r:id="rIdomnffxlh1fcf0ugwshw7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мероприятий по подготовке отраслей экономики и населения Кыргызской Республики к осенне-зимнему периоду 2015/2016 года (далее - План) согласно </w:t>
      </w:r>
      <w:hyperlink w:history="1" r:id="rId8bujyry02gbjelmi-8-w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Министерствам, административным ведомствам, государственным предприятиям "Кыргызкомур" и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"Электрические станции", "Национальная электрическая сеть Кыргызстана", "Северэлектро", "Ошэлектро", "Востокэлектро", "Жалалабатэлектро", "Кыргызнефтегаз", "Бишкектеплосеть", обществу с ограниченной ответственностью "Газпром Кыргызстан" и муниципальному предприятию "Теплоснабжение" города Ош:</w:t>
      </w:r>
    </w:p>
    <w:p>
      <w:pPr>
        <w:spacing w:after="120"/>
        <w:jc w:val="both"/>
      </w:pPr>
      <w:r>
        <w:rPr>
          <w:rFonts w:ascii="Arial" w:cs="Arial" w:eastAsia="Arial" w:hAnsi="Arial"/>
          <w:sz w:val="24"/>
          <w:szCs w:val="24"/>
        </w:rPr>
        <w:t xml:space="preserve">- обеспечить выполнение Плана, лимитов потребления электрической энергии и мощности, графиков и заданий согласно приложениям </w:t>
      </w:r>
      <w:hyperlink w:history="1" r:id="rId-gkc8mtempdgnibfe9rq7">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xv70r8fxbibldej-y5vfd">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в срок до 15 августа 2015 года провести конкурсы с целью определения поставщиков топлива для бюджетных организаций, заключить с ними договоры. Конкурсным комиссиям министерств и административных ведомств, государственному предприятию "Кыргызжилкоммунсоюз" при Министерстве энергетики и промышленности Кыргызской Республики, по согласованию: открытому акционерному обществу "Электрические станции", коммунальному предприятию "Бишкектеплоэнерго" при мэрии города Бишкек, муниципальному предприятию "Теплоснабжение" города Ош при проведении конкурсов на поставку местного угля для бюджетных организаций и ТЭЦ города Бишкек, в качестве временной меры на период подготовки к осенне-зимнему периоду 2015/2016 года, допускать к участию в конкурсах угольные предприятия Кыргызской Республики, несмотря на наличие у них задолженности перед бюджетом и Социальным фондом Кыргызской Республики.</w:t>
      </w:r>
    </w:p>
    <w:p>
      <w:pPr>
        <w:spacing w:after="120"/>
        <w:jc w:val="both"/>
      </w:pPr>
      <w:r>
        <w:rPr>
          <w:rFonts w:ascii="Arial" w:cs="Arial" w:eastAsia="Arial" w:hAnsi="Arial"/>
          <w:sz w:val="24"/>
          <w:szCs w:val="24"/>
        </w:rPr>
        <w:t xml:space="preserve">- в срок до 10 августа 2015 года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 не позднее 10 числа месяца, следующего за отчетным периодом, включая информацию о проведении тендеров на поставку угля, о выполнении плановых заданий по заготовке топлива, создании топливных баз и пунктов реализации угля, с указанием цен на уголь.</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s74d2spnbvcvd_caxzjpb">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Министерствам, административным ведомствам, государственному предприятию "Кыргызжилкоммунсоюз" при Министерстве энергетики и промышленности Кыргызской Республики, аппаратам полномочных представителей Правительства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и муниципальному предприятию "Теплоснабжение" города Ош в срок до 1 июля 2015 года разработать планы мероприятий поэтапного перевода отопительных котельных, использующих электроэнергию для выработки тепловой энергии, на твердое топливо в пределах средств, предусмотренных в соответствующих бюджетах на 2015-2017 годы, и представить в Министерство энергетики и промышленности Кыргызской Республики и Министерство финансов Кыргызской Республики.</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mh1bzuuswhah_97cogm0d">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в срок до 1 сентября 2015 года утвердить цены на уголь угледобывающих предприятий Кыргызской Республики, включенных в перечень предприятий-монополистов, для поставки угля на внутренний рынок республики и населению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 в срок до 1 октября 2015 года определить цены на перевозку угля автотранспортными средствами по маршруту разрез "Кара-Кече" - железнодорожная станция Балыкчы и рекомендовать их для использования.</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kkf9zulbgi_pphss5vcg5">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Министерству финансов Кыргызской Республики:</w:t>
      </w:r>
    </w:p>
    <w:p>
      <w:pPr>
        <w:spacing w:after="120"/>
        <w:jc w:val="both"/>
      </w:pPr>
      <w:r>
        <w:rPr>
          <w:rFonts w:ascii="Arial" w:cs="Arial" w:eastAsia="Arial" w:hAnsi="Arial"/>
          <w:sz w:val="24"/>
          <w:szCs w:val="24"/>
        </w:rPr>
        <w:t xml:space="preserve">- осуществлять ежемесячное выделение средств, финансируемым из республиканского бюджета, на оплату за электрическую, тепловую энергию и природный газ в объеме, предусмотренном Законом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обеспечить своевременное поквартальное выделение компенсационных средств жителям высокогорных районов за 2015 год в пределах средств, предусмотренных </w:t>
      </w:r>
      <w:hyperlink w:history="1" r:id="rIdjcbcr0aia2tfbe_yijsw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w:t>
      </w:r>
    </w:p>
    <w:p>
      <w:pPr>
        <w:spacing w:after="120"/>
        <w:jc w:val="both"/>
      </w:pPr>
      <w:r>
        <w:rPr>
          <w:rFonts w:ascii="Arial" w:cs="Arial" w:eastAsia="Arial" w:hAnsi="Arial"/>
          <w:sz w:val="24"/>
          <w:szCs w:val="24"/>
        </w:rPr>
        <w:t xml:space="preserve">- обеспечить своевременное выделение 20-процентной предоплаты на приобретение топлива, после представления, финансируемыми из республиканского бюджета, заключенных и надлежащим образом оформленных договоров на поставку угля и топочного мазута, в срок не позднее 30 дней со дня их представления, и обеспечить полное и своевременное финансирование расходов за поставленную продукцию;</w:t>
      </w:r>
    </w:p>
    <w:p>
      <w:pPr>
        <w:spacing w:after="120"/>
        <w:jc w:val="both"/>
      </w:pPr>
      <w:r>
        <w:rPr>
          <w:rFonts w:ascii="Arial" w:cs="Arial" w:eastAsia="Arial" w:hAnsi="Arial"/>
          <w:sz w:val="24"/>
          <w:szCs w:val="24"/>
        </w:rPr>
        <w:t xml:space="preserve">- предусмотреть выделение дополнительных средств государственному предприятию "Кыргызжилкоммунсоюз" при Министерстве энергетики и промышленности Кыргызской Республики в размере 500,0 млн. сомов на погашение задолженности перед поставщиками топлива и субсидирование тепловой энергии;</w:t>
      </w:r>
    </w:p>
    <w:p>
      <w:pPr>
        <w:spacing w:after="120"/>
        <w:jc w:val="both"/>
      </w:pPr>
      <w:r>
        <w:rPr>
          <w:rFonts w:ascii="Arial" w:cs="Arial" w:eastAsia="Arial" w:hAnsi="Arial"/>
          <w:sz w:val="24"/>
          <w:szCs w:val="24"/>
        </w:rPr>
        <w:t xml:space="preserve">- совместно с Министерством энергетики и промышленности Кыргызской Республики в срок до 1 июля 2015 года проработать и внести в Аппарат Правительства Кыргызской Республики предложения по решению следующих вопросов:</w:t>
      </w:r>
    </w:p>
    <w:p>
      <w:pPr>
        <w:spacing w:after="120"/>
        <w:jc w:val="both"/>
      </w:pPr>
      <w:r>
        <w:rPr>
          <w:rFonts w:ascii="Arial" w:cs="Arial" w:eastAsia="Arial" w:hAnsi="Arial"/>
          <w:sz w:val="24"/>
          <w:szCs w:val="24"/>
        </w:rPr>
        <w:t xml:space="preserve">выделение бюджетной ссуды открытому акционерному обществу "Электрические станции" в размере до 5,4 млрд. сомов на заготовку топливных ресурсов для тепловых станций;</w:t>
      </w:r>
    </w:p>
    <w:p>
      <w:pPr>
        <w:spacing w:after="120"/>
        <w:jc w:val="both"/>
      </w:pPr>
      <w:r>
        <w:rPr>
          <w:rFonts w:ascii="Arial" w:cs="Arial" w:eastAsia="Arial" w:hAnsi="Arial"/>
          <w:sz w:val="24"/>
          <w:szCs w:val="24"/>
        </w:rPr>
        <w:t xml:space="preserve">выделение бюджетной ссуды открытому акционерному обществу "Электрические станции" в размере до 3,1 млрд. сомов для осуществления импорта электрической энергии в целях обеспечения необходимого объема воды в Токтогульском водохранилище;</w:t>
      </w:r>
    </w:p>
    <w:p>
      <w:pPr>
        <w:spacing w:after="120"/>
        <w:jc w:val="both"/>
      </w:pPr>
      <w:r>
        <w:rPr>
          <w:rFonts w:ascii="Arial" w:cs="Arial" w:eastAsia="Arial" w:hAnsi="Arial"/>
          <w:sz w:val="24"/>
          <w:szCs w:val="24"/>
        </w:rPr>
        <w:t xml:space="preserve">реструктуризация задолженности открытого акционерного общества "Электрические станции" по ранее полученным бюджетным ссудам и кредитам;</w:t>
      </w:r>
    </w:p>
    <w:p>
      <w:pPr>
        <w:spacing w:after="120"/>
        <w:jc w:val="both"/>
      </w:pPr>
      <w:r>
        <w:rPr>
          <w:rFonts w:ascii="Arial" w:cs="Arial" w:eastAsia="Arial" w:hAnsi="Arial"/>
          <w:sz w:val="24"/>
          <w:szCs w:val="24"/>
        </w:rPr>
        <w:t xml:space="preserve">финансирование мероприятий по реализации Плана поэтапного перевода отопительных котельных, использующих электроэнергию для выработки тепловой энергии, на твердое топливо;</w:t>
      </w:r>
    </w:p>
    <w:p>
      <w:pPr>
        <w:spacing w:after="120"/>
        <w:jc w:val="both"/>
      </w:pPr>
      <w:r>
        <w:rPr>
          <w:rFonts w:ascii="Arial" w:cs="Arial" w:eastAsia="Arial" w:hAnsi="Arial"/>
          <w:sz w:val="24"/>
          <w:szCs w:val="24"/>
        </w:rPr>
        <w:t xml:space="preserve">начисление и погашение ранее начисленной пени бюджетным организациям, финансируемым из республиканского бюджета, за несвоевременную оплату за потребленные электрическую, тепловую энергию и природный газ.</w:t>
      </w:r>
    </w:p>
    <w:p>
      <w:pPr>
        <w:spacing w:after="480"/>
        <w:jc w:val="left"/>
      </w:pPr>
      <w:r>
        <w:rPr>
          <w:rFonts w:ascii="Arial" w:cs="Arial" w:eastAsia="Arial" w:hAnsi="Arial"/>
          <w:i/>
          <w:iCs/>
          <w:sz w:val="24"/>
          <w:szCs w:val="24"/>
        </w:rPr>
        <w:t xml:space="preserve">(В редакции постановления правительства КР от </w:t>
      </w:r>
      <w:hyperlink w:history="1" r:id="rIdkjd-upk3tylt2ua7dqzhz">
        <w:r>
          <w:rPr>
            <w:rFonts w:ascii="Arial" w:cs="Arial" w:eastAsia="Arial" w:hAnsi="Arial"/>
            <w:i/>
            <w:iCs/>
            <w:color w:val="1D4ED8"/>
            <w:sz w:val="24"/>
            <w:szCs w:val="24"/>
            <w:u w:val="single"/>
          </w:rPr>
          <w:t xml:space="preserve">3 августа 2015 года № 552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по согласованию: мэриям городов Бишкек и Ош:</w:t>
      </w:r>
    </w:p>
    <w:p>
      <w:pPr>
        <w:spacing w:after="120"/>
        <w:jc w:val="both"/>
      </w:pPr>
      <w:r>
        <w:rPr>
          <w:rFonts w:ascii="Arial" w:cs="Arial" w:eastAsia="Arial" w:hAnsi="Arial"/>
          <w:sz w:val="24"/>
          <w:szCs w:val="24"/>
        </w:rPr>
        <w:t xml:space="preserve">- в срок до 1 сентября 2015 года погасить задолженность бюджетных потребителей перед предприятиями топливно-энергетического комплекса за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обеспечить в полном объеме своевременную оплату за потребленные электрическую, тепловую энергию, природный газ, уголь и топочный мазут;</w:t>
      </w:r>
    </w:p>
    <w:p>
      <w:pPr>
        <w:spacing w:after="120"/>
        <w:jc w:val="both"/>
      </w:pPr>
      <w:r>
        <w:rPr>
          <w:rFonts w:ascii="Arial" w:cs="Arial" w:eastAsia="Arial" w:hAnsi="Arial"/>
          <w:sz w:val="24"/>
          <w:szCs w:val="24"/>
        </w:rPr>
        <w:t xml:space="preserve">- оказывать содействие энергетическим компаниям в своевременной вырубке поросли деревьев в охранных зонах воздушных и кабельных линий электропередачи;</w:t>
      </w:r>
    </w:p>
    <w:p>
      <w:pPr>
        <w:spacing w:after="120"/>
        <w:jc w:val="both"/>
      </w:pPr>
      <w:r>
        <w:rPr>
          <w:rFonts w:ascii="Arial" w:cs="Arial" w:eastAsia="Arial" w:hAnsi="Arial"/>
          <w:sz w:val="24"/>
          <w:szCs w:val="24"/>
        </w:rPr>
        <w:t xml:space="preserve">- довести до каждой организации, финансируемой из республиканского и местного бюджетов, лимиты потребления электрической энергии и мощности с возложением персональной ответственности на полномочных представителей Правительства Кыргызской Республики в областях, глав местных государственных администраций, глав айыл окмоту, руководителей открытых акционерных обществ "Северэлектро", "Ошэлектро", "Востокэлектро", "Жалалабатэлектро" и "Национальная электрическая сеть Кыргызстана" за выполнение установленных величин потребления электрической энергии и мощности.</w:t>
      </w:r>
    </w:p>
    <w:p>
      <w:pPr>
        <w:spacing w:after="120"/>
        <w:jc w:val="both"/>
      </w:pPr>
      <w:r>
        <w:rPr>
          <w:rFonts w:ascii="Arial" w:cs="Arial" w:eastAsia="Arial" w:hAnsi="Arial"/>
          <w:sz w:val="24"/>
          <w:szCs w:val="24"/>
        </w:rPr>
        <w:t xml:space="preserve">7.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на постоянной основе осуществлять контроль за соблюдением лимитов потребления электрической энергии бюджетными потребителями, утвержденных </w:t>
      </w:r>
      <w:hyperlink w:history="1" r:id="rIdaljs6pobxiigkxue42_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лимита потребления электрической, тепловой энергии, природного газа, воды и отвода стоков для бюджетных организаций Кыргызской Республики на 2015 год" от 2 марта 2015 года № 87, на основании ежемесячной информации электроснабжающих организаций.</w:t>
      </w:r>
    </w:p>
    <w:p>
      <w:pPr>
        <w:spacing w:after="120"/>
        <w:jc w:val="both"/>
      </w:pPr>
      <w:r>
        <w:rPr>
          <w:rFonts w:ascii="Arial" w:cs="Arial" w:eastAsia="Arial" w:hAnsi="Arial"/>
          <w:sz w:val="24"/>
          <w:szCs w:val="24"/>
        </w:rPr>
        <w:t xml:space="preserve">8. Государственной таможенной службе при Правительстве Кыргызской Республики и Государственной пограничной службе Кыргызской Республики, при необходимости проведения планового или аварийного ремонта линии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9.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Министерству финансов Кыргызской Республики обеспечить открытому акционерному обществу "Электрические станции" своевременное возмещение суммы превышения по налогу на добавленную стоимость при погашении налога на добавленную стоимость на импорт электрической энергии.</w:t>
      </w:r>
    </w:p>
    <w:p>
      <w:pPr>
        <w:spacing w:after="120"/>
        <w:jc w:val="both"/>
      </w:pPr>
      <w:r>
        <w:rPr>
          <w:rFonts w:ascii="Arial" w:cs="Arial" w:eastAsia="Arial" w:hAnsi="Arial"/>
          <w:sz w:val="24"/>
          <w:szCs w:val="24"/>
        </w:rPr>
        <w:t xml:space="preserve">10. Фонду по управлению государственным имуществом при Правительстве Кыргызской Республики, Государственной налоговой службе при Правительстве Кыргызской Республики, Социальному фонду Кыргызской Республики, Государственной таможенной службе при Правительстве Кыргызской Республики и Фонду государственных материальных резервов при Правительстве Кыргызской Республики на время подготовки и прохождения осенне-зимнего периода не принимать мер по закрытию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"Чакан ГЭС", "Бишкектеплосеть", "Кыргызнефтегаз", общества с ограниченной ответственностью "Газпром Кыргызстан", коммунального предприятия "Бишкектеплоэнерго" мэрии города Бишкек, муниципального предприятия "Теплоснабжение" мэрии города Ош, государственных предприятий "Кыргызжилкоммунсоюз" и "Кыргызкомур" при Министерстве энергетики и промышленности Кыргызской Республики и угледобывающих предприятий, задействованных в заготовке топлива.</w:t>
      </w:r>
    </w:p>
    <w:p>
      <w:pPr>
        <w:spacing w:after="120"/>
        <w:jc w:val="both"/>
      </w:pPr>
      <w:r>
        <w:rPr>
          <w:rFonts w:ascii="Arial" w:cs="Arial" w:eastAsia="Arial" w:hAnsi="Arial"/>
          <w:sz w:val="24"/>
          <w:szCs w:val="24"/>
        </w:rPr>
        <w:t xml:space="preserve">11.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осуществлять координацию и мониторинг выполнения Плана, лимитов потребления электрической энергии и мощности, графиков и заданий согласно приложениям </w:t>
      </w:r>
      <w:hyperlink w:history="1" r:id="rIddz8vlei6pc9mnwt3mdmgp">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kqnzh02lxi1xpfsbwh5lk">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принять меры по обеспечению выполнения открытыми акционерными обществами "Электрические станции", "Национальная электрическая сеть Кыргызстана", "Кыргызнефтегаз", "Северэлектро", "Востокэлектро", "Ошэлектро", "Жалалабатэлектро" и "Бишкектеплосеть", обществом с ограниченной ответственностью "Газпром Кыргызстан", государственными предприятиями "Кыргызкомур" и "Кыргызжилкоммунсоюз" при Министерстве энергетики и промышленности Кыргызской Республики Плана, лимитов потребления электрической энергии и мощности, графиков и заданий согласно приложениям </w:t>
      </w:r>
      <w:hyperlink w:history="1" r:id="rIdoqskh0qqwwnqrlbgiqbx6">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yq7sxmf0qkkfcdhqgljx9">
        <w:r>
          <w:rPr>
            <w:rFonts w:ascii="Arial" w:cs="Arial" w:eastAsia="Arial" w:hAnsi="Arial"/>
            <w:color w:val="1D4ED8"/>
            <w:sz w:val="24"/>
            <w:szCs w:val="24"/>
            <w:u w:val="single"/>
          </w:rPr>
          <w:t xml:space="preserve">21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совместно с мэриями городов Бишкек и Ош, открытыми акционерными обществами "Электрические станции", "Национальная электрическая сеть Кыргызстана", "Северэлектро", "Востокэлектро", "Ошэлектро" и "Жалалабатэлектро" принять меры по обеспечению надежного электроснабжения всех потребителей республики;</w:t>
      </w:r>
    </w:p>
    <w:p>
      <w:pPr>
        <w:spacing w:after="120"/>
        <w:jc w:val="both"/>
      </w:pPr>
      <w:r>
        <w:rPr>
          <w:rFonts w:ascii="Arial" w:cs="Arial" w:eastAsia="Arial" w:hAnsi="Arial"/>
          <w:sz w:val="24"/>
          <w:szCs w:val="24"/>
        </w:rPr>
        <w:t xml:space="preserve">- совместно с Фондом по управлению государственным имуществом при Правительстве Кыргызской Республики и государственным предприятием "Бишкекский штамповочный завод" до 30 октября 2015 года ввести в работу подстанцию ПС 110 кВ "Завод имени Ленина" и перераспределить нагрузки открытого акционерного общества "Северэлектро" на данную подстанцию.</w:t>
      </w:r>
    </w:p>
    <w:p>
      <w:pPr>
        <w:spacing w:after="120"/>
        <w:jc w:val="both"/>
      </w:pPr>
      <w:r>
        <w:rPr>
          <w:rFonts w:ascii="Arial" w:cs="Arial" w:eastAsia="Arial" w:hAnsi="Arial"/>
          <w:sz w:val="24"/>
          <w:szCs w:val="24"/>
        </w:rPr>
        <w:t xml:space="preserve">12. Государственному агентству по регулированию топливно-энергетического комплекса при Правительстве Кыргызской Республики в целях своевременной разработки планов и проведения тендеров на поставку продукции и выполнения работ обеспечить своевременное установление тарифов на поставку и передачу электроэнергии и утверждение затрат энергетическим предприятиям для осуществления производственной деятельности.</w:t>
      </w:r>
    </w:p>
    <w:p>
      <w:pPr>
        <w:spacing w:after="120"/>
        <w:jc w:val="both"/>
      </w:pPr>
      <w:r>
        <w:rPr>
          <w:rFonts w:ascii="Arial" w:cs="Arial" w:eastAsia="Arial" w:hAnsi="Arial"/>
          <w:sz w:val="24"/>
          <w:szCs w:val="24"/>
        </w:rPr>
        <w:t xml:space="preserve">13. Государственному предприятию "Кыргызкомур"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в полном объеме своевременное исполнение утвержденных настоящим постановлением графиков поставки местного угля для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поставку угля надлежащего качества в сроки в соответствии с договорами, заключенными с открытым акционерным обществом "Электрические станции", государственным предприятием "Кыргызжилкоммунсоюз" при Министерстве энергетики и промышленности Кыргызской Республики, коммунальным предприятием "Бишкектеплоэнерго" мэрии города Бишкек и бюджетными организациями.</w:t>
      </w:r>
    </w:p>
    <w:p>
      <w:pPr>
        <w:spacing w:after="120"/>
        <w:jc w:val="both"/>
      </w:pPr>
      <w:r>
        <w:rPr>
          <w:rFonts w:ascii="Arial" w:cs="Arial" w:eastAsia="Arial" w:hAnsi="Arial"/>
          <w:sz w:val="24"/>
          <w:szCs w:val="24"/>
        </w:rPr>
        <w:t xml:space="preserve">14. Рекомендовать открытому акционерному обществу "Электрические станции":</w:t>
      </w:r>
    </w:p>
    <w:p>
      <w:pPr>
        <w:spacing w:after="120"/>
        <w:jc w:val="both"/>
      </w:pPr>
      <w:r>
        <w:rPr>
          <w:rFonts w:ascii="Arial" w:cs="Arial" w:eastAsia="Arial" w:hAnsi="Arial"/>
          <w:sz w:val="24"/>
          <w:szCs w:val="24"/>
        </w:rPr>
        <w:t xml:space="preserve">- обеспечить режим использования водных ресурсов Токтогульского водохранилища в течение 2015 года и 1-го квартала 2016 года на основе ежемесячных водно-энергетических расчетов с учетом гидрологических прогнозов и ожидаемого объема электропотребления;</w:t>
      </w:r>
    </w:p>
    <w:p>
      <w:pPr>
        <w:spacing w:after="120"/>
        <w:jc w:val="both"/>
      </w:pPr>
      <w:r>
        <w:rPr>
          <w:rFonts w:ascii="Arial" w:cs="Arial" w:eastAsia="Arial" w:hAnsi="Arial"/>
          <w:sz w:val="24"/>
          <w:szCs w:val="24"/>
        </w:rPr>
        <w:t xml:space="preserve">- совместно с открытым акционерным обществом "Национальная электрическая сеть Кыргызстана" обеспечить импорт электроэнергии в соответствии с объемами, определенными договорами;</w:t>
      </w:r>
    </w:p>
    <w:p>
      <w:pPr>
        <w:spacing w:after="120"/>
        <w:jc w:val="both"/>
      </w:pPr>
      <w:r>
        <w:rPr>
          <w:rFonts w:ascii="Arial" w:cs="Arial" w:eastAsia="Arial" w:hAnsi="Arial"/>
          <w:sz w:val="24"/>
          <w:szCs w:val="24"/>
        </w:rPr>
        <w:t xml:space="preserve">- предусмотреть в осенне-зимний период 2015/2016 года увеличение активной мощности ТЭЦ города Бишкек до 360 МВт и реактивной мощности - до 420 МВАр;</w:t>
      </w:r>
    </w:p>
    <w:p>
      <w:pPr>
        <w:spacing w:after="120"/>
        <w:jc w:val="both"/>
      </w:pPr>
      <w:r>
        <w:rPr>
          <w:rFonts w:ascii="Arial" w:cs="Arial" w:eastAsia="Arial" w:hAnsi="Arial"/>
          <w:sz w:val="24"/>
          <w:szCs w:val="24"/>
        </w:rPr>
        <w:t xml:space="preserve">- обеспечить ежемесячную оплату за поставленные уголь и топочный мазут согласно заключенным договорам;</w:t>
      </w:r>
    </w:p>
    <w:p>
      <w:pPr>
        <w:spacing w:after="120"/>
        <w:jc w:val="both"/>
      </w:pPr>
      <w:r>
        <w:rPr>
          <w:rFonts w:ascii="Arial" w:cs="Arial" w:eastAsia="Arial" w:hAnsi="Arial"/>
          <w:sz w:val="24"/>
          <w:szCs w:val="24"/>
        </w:rPr>
        <w:t xml:space="preserve">- в срок до 1 августа 2015 года погасить задолженность перед угледобывающими предприятиями Кыргызской Республики за уголь, поставленный в осенне-зимний период 2014/2015 года;</w:t>
      </w:r>
    </w:p>
    <w:p>
      <w:pPr>
        <w:spacing w:after="120"/>
        <w:jc w:val="both"/>
      </w:pPr>
      <w:r>
        <w:rPr>
          <w:rFonts w:ascii="Arial" w:cs="Arial" w:eastAsia="Arial" w:hAnsi="Arial"/>
          <w:sz w:val="24"/>
          <w:szCs w:val="24"/>
        </w:rPr>
        <w:t xml:space="preserve">- рассмотреть возможность обеспечения поставок 50 тыс. тонн угля с Таш-Кумырского месторождения на ТЭЦ города Бишкек в соответствии с законодательством Кыргызской Республики о государственных закупках.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i99p3samngvcuv0kkqhud">
        <w:r>
          <w:rPr>
            <w:rFonts w:ascii="Arial" w:cs="Arial" w:eastAsia="Arial" w:hAnsi="Arial"/>
            <w:i/>
            <w:iCs/>
            <w:color w:val="1D4ED8"/>
            <w:sz w:val="24"/>
            <w:szCs w:val="24"/>
            <w:u w:val="single"/>
          </w:rPr>
          <w:t xml:space="preserve">14 марта 2016 года № 124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Государственному предприятию "Кыргызжилкоммунсоюз" при Министерстве энергетики и промышленности Кыргызской Республики:</w:t>
      </w:r>
    </w:p>
    <w:p>
      <w:pPr>
        <w:spacing w:after="120"/>
        <w:jc w:val="both"/>
      </w:pPr>
      <w:r>
        <w:rPr>
          <w:rFonts w:ascii="Arial" w:cs="Arial" w:eastAsia="Arial" w:hAnsi="Arial"/>
          <w:sz w:val="24"/>
          <w:szCs w:val="24"/>
        </w:rPr>
        <w:t xml:space="preserve">- обеспечить ежемесячную оплату за поставленные уголь и топочный мазут согласно заключенным договорам;</w:t>
      </w:r>
    </w:p>
    <w:p>
      <w:pPr>
        <w:spacing w:after="120"/>
        <w:jc w:val="both"/>
      </w:pPr>
      <w:r>
        <w:rPr>
          <w:rFonts w:ascii="Arial" w:cs="Arial" w:eastAsia="Arial" w:hAnsi="Arial"/>
          <w:sz w:val="24"/>
          <w:szCs w:val="24"/>
        </w:rPr>
        <w:t xml:space="preserve">- в срок до 1 августа 2015 года принять меры по погашению задолженности перед угледобывающими предприятиями Кыргызской Республики за уголь, поставленный в осенне-зимний период 2015/2016 года.</w:t>
      </w:r>
    </w:p>
    <w:p>
      <w:pPr>
        <w:spacing w:after="120"/>
        <w:jc w:val="both"/>
      </w:pPr>
      <w:r>
        <w:rPr>
          <w:rFonts w:ascii="Arial" w:cs="Arial" w:eastAsia="Arial" w:hAnsi="Arial"/>
          <w:sz w:val="24"/>
          <w:szCs w:val="24"/>
        </w:rPr>
        <w:t xml:space="preserve">16. Рекомендовать открытым акционерным обществам "Национальная электрическая сеть Кыргызстана", "Северэлектро", "Востокэлектро", "Ошэлектро", "Жалалабатэлектро", "Бишкектеплосеть" и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отключать в установленном порядке потребителей, имеющих дебиторскую задолженность за электрическую, тепловую энергию и природный газ, и бюджетные организации, допускающие перерасход установленного лимита потребления тепловой и электрической энергии, за исключением объектов здравоохранения, Государственной пограничной службы Кыргызской Республики и учреждений и объектов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не допускать превышения лимитов потребления электрической энергии и мощности согласно приложениям </w:t>
      </w:r>
      <w:hyperlink w:history="1" r:id="rId5h3yyxt2dpbpohk7ga1_b">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92wooaydgifnonm8xea8c">
        <w:r>
          <w:rPr>
            <w:rFonts w:ascii="Arial" w:cs="Arial" w:eastAsia="Arial" w:hAnsi="Arial"/>
            <w:color w:val="1D4ED8"/>
            <w:sz w:val="24"/>
            <w:szCs w:val="24"/>
            <w:u w:val="single"/>
          </w:rPr>
          <w:t xml:space="preserve">11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не отключать от электроснабжения технологические объекты муниципального предприятия "Теплоснабжение" мэрии города Ош, государственного предприятия "Кыргызжилкоммунсоюз" при Министерстве энергетики и промышленности Кыргызской Республики и коммунального предприятия "Бишкектеплоэнерго" мэрии города Бишкек в период ремонта котельного оборудования и прохождения осенне-зимнего периода 2015/2016 года с соблюдением взаимных гарантийных и иных обязательств.</w:t>
      </w:r>
    </w:p>
    <w:p>
      <w:pPr>
        <w:spacing w:after="120"/>
        <w:jc w:val="both"/>
      </w:pPr>
      <w:r>
        <w:rPr>
          <w:rFonts w:ascii="Arial" w:cs="Arial" w:eastAsia="Arial" w:hAnsi="Arial"/>
          <w:sz w:val="24"/>
          <w:szCs w:val="24"/>
        </w:rPr>
        <w:t xml:space="preserve">17. Рекомендовать обществу с ограниченной ответственностью "Газпром Кыргызстан":</w:t>
      </w:r>
    </w:p>
    <w:p>
      <w:pPr>
        <w:spacing w:after="120"/>
        <w:jc w:val="both"/>
      </w:pPr>
      <w:r>
        <w:rPr>
          <w:rFonts w:ascii="Arial" w:cs="Arial" w:eastAsia="Arial" w:hAnsi="Arial"/>
          <w:sz w:val="24"/>
          <w:szCs w:val="24"/>
        </w:rPr>
        <w:t xml:space="preserve">- заключить с поставщиками соответствующие контракты на поставку природного газа и обеспечить бесперебойную поставку природного газа для потребителей Кыргызской Республики в осенне-зимний период 2015/2016 года;</w:t>
      </w:r>
    </w:p>
    <w:p>
      <w:pPr>
        <w:spacing w:after="120"/>
        <w:jc w:val="both"/>
      </w:pPr>
      <w:r>
        <w:rPr>
          <w:rFonts w:ascii="Arial" w:cs="Arial" w:eastAsia="Arial" w:hAnsi="Arial"/>
          <w:sz w:val="24"/>
          <w:szCs w:val="24"/>
        </w:rPr>
        <w:t xml:space="preserve">- обеспечить выполнение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 ускорить работу по газификации многоквартирных жилых домов высотой более 10 этажей.</w:t>
      </w:r>
    </w:p>
    <w:p>
      <w:pPr>
        <w:spacing w:after="120"/>
        <w:jc w:val="both"/>
      </w:pPr>
      <w:r>
        <w:rPr>
          <w:rFonts w:ascii="Arial" w:cs="Arial" w:eastAsia="Arial" w:hAnsi="Arial"/>
          <w:sz w:val="24"/>
          <w:szCs w:val="24"/>
        </w:rPr>
        <w:t xml:space="preserve">18. Рекомендовать открытым акционерным обществам "Северэлектро", "Востокэлектро", "Ошэлектро" и "Жалалабатэлектро" совместно с местными государственными администрациями разработать графики местной разгрузки для их применения в случаях перебора лимита потребления электроэнергии и мощности, перегруза основного оборудования, дефицита мощности и электроэнергии и представить их открытому акционерному обществу "Национальная электрическая сеть Кыргызстана".</w:t>
      </w:r>
    </w:p>
    <w:p>
      <w:pPr>
        <w:spacing w:after="120"/>
        <w:jc w:val="both"/>
      </w:pPr>
      <w:r>
        <w:rPr>
          <w:rFonts w:ascii="Arial" w:cs="Arial" w:eastAsia="Arial" w:hAnsi="Arial"/>
          <w:sz w:val="24"/>
          <w:szCs w:val="24"/>
        </w:rPr>
        <w:t xml:space="preserve">19. Министерствам, административным ведомствам, аппаратам полномочных представителей Правительства Кыргызской Республики в областях, местным государственным администрациям и органам местного самоуправления (по согласованию) оказывать максимальное содействие обществу с ограниченной ответственностью "Газпром Кыргызстан" в реализации Генеральной схемы газоснабжения и газификации Кыргызской Республики до 2030 года и Инвестиционной программы на 2015-2017 годы.</w:t>
      </w:r>
    </w:p>
    <w:p>
      <w:pPr>
        <w:spacing w:after="120"/>
        <w:jc w:val="both"/>
      </w:pPr>
      <w:r>
        <w:rPr>
          <w:rFonts w:ascii="Arial" w:cs="Arial" w:eastAsia="Arial" w:hAnsi="Arial"/>
          <w:sz w:val="24"/>
          <w:szCs w:val="24"/>
        </w:rPr>
        <w:t xml:space="preserve">20. Государственному агентству архитектуры, строительства и жилищно-коммунального хозяйства при Правительстве Кыргызской Республики в срок до 1 июля 2015 года внести предложения в Министерство энергетики и промышленности Кыргызской Республики по совершенствованию нормативно-технической базы, регламентирующей газовую отрасль республики.</w:t>
      </w:r>
    </w:p>
    <w:p>
      <w:pPr>
        <w:spacing w:after="120"/>
        <w:jc w:val="both"/>
      </w:pPr>
      <w:r>
        <w:rPr>
          <w:rFonts w:ascii="Arial" w:cs="Arial" w:eastAsia="Arial" w:hAnsi="Arial"/>
          <w:sz w:val="24"/>
          <w:szCs w:val="24"/>
        </w:rPr>
        <w:t xml:space="preserve">21. Рекомендовать мэрии города Бишкек обеспечить до 1 апреля 2016 года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для целевого финансирования ремонтно-восстановительных работ на ТЭЦ города Бишкек и оплаты за поставленный кыргызский уголь на ТЭЦ города Бишкек.</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абзац третий пункта 2, пункты 3-16 </w:t>
      </w:r>
      <w:hyperlink w:history="1" r:id="rIdrfqhsubp_64gy0rytvz_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w:t>
      </w:r>
    </w:p>
    <w:p>
      <w:pPr>
        <w:spacing w:after="120"/>
        <w:jc w:val="both"/>
      </w:pPr>
      <w:r>
        <w:rPr>
          <w:rFonts w:ascii="Arial" w:cs="Arial" w:eastAsia="Arial" w:hAnsi="Arial"/>
          <w:sz w:val="24"/>
          <w:szCs w:val="24"/>
        </w:rPr>
        <w:t xml:space="preserve">- </w:t>
      </w:r>
      <w:hyperlink w:history="1" r:id="rIdwiajuckprxaxjtapthy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9ip6ui9ubi6dz8k262rc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4 сентября 2014 года № 525;</w:t>
      </w:r>
    </w:p>
    <w:p>
      <w:pPr>
        <w:spacing w:after="120"/>
        <w:jc w:val="both"/>
      </w:pPr>
      <w:r>
        <w:rPr>
          <w:rFonts w:ascii="Arial" w:cs="Arial" w:eastAsia="Arial" w:hAnsi="Arial"/>
          <w:sz w:val="24"/>
          <w:szCs w:val="24"/>
        </w:rPr>
        <w:t xml:space="preserve">- пункты 1 и 4 </w:t>
      </w:r>
      <w:hyperlink w:history="1" r:id="rIdbk6esbdspjqa8sgfa8le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w:t>
      </w:r>
      <w:hyperlink w:history="1" r:id="rIdhlvzdmn5lob_bxxc-wk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2014/2015 года" от 8 мая 2014 года № 250" от 14 ноября 2014 года № 649.</w:t>
      </w:r>
    </w:p>
    <w:p>
      <w:pPr>
        <w:spacing w:after="120"/>
        <w:jc w:val="both"/>
      </w:pPr>
      <w:r>
        <w:rPr>
          <w:rFonts w:ascii="Arial" w:cs="Arial" w:eastAsia="Arial" w:hAnsi="Arial"/>
          <w:sz w:val="24"/>
          <w:szCs w:val="24"/>
        </w:rPr>
        <w:t xml:space="preserve">23.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24. Контроль за исполнением настоящего постановления возложить на отдел топливно-энергетического комплекса, промышленности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ПЛАН
 мероприятий по подготовке отраслей экономики и населения Кыргызской Республики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3931"/>
        <w:gridCol w:w="1755"/>
        <w:gridCol w:w="4138"/>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9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1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4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для ежемесячного рассмотрения хода подготовки к отопительному сезону, в первую очередь, вопросов:</w:t>
            </w:r>
          </w:p>
          <w:p>
            <w:pPr>
              <w:jc w:val="left"/>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о качестве подготовки социальных объектов к отопительному периоду;</w:t>
            </w:r>
          </w:p>
          <w:p>
            <w:pPr>
              <w:jc w:val="left"/>
            </w:pPr>
            <w:r>
              <w:rPr>
                <w:rFonts w:ascii="Arial" w:cs="Arial" w:eastAsia="Arial" w:hAnsi="Arial"/>
                <w:sz w:val="24"/>
                <w:szCs w:val="24"/>
              </w:rPr>
              <w:t xml:space="preserve">- о качестве подготовки жилого фонда к отопительному периоду;</w:t>
            </w:r>
          </w:p>
          <w:p>
            <w:pPr>
              <w:jc w:val="left"/>
            </w:pPr>
            <w:r>
              <w:rPr>
                <w:rFonts w:ascii="Arial" w:cs="Arial" w:eastAsia="Arial" w:hAnsi="Arial"/>
                <w:sz w:val="24"/>
                <w:szCs w:val="24"/>
              </w:rPr>
              <w:t xml:space="preserve">- об обеспеченности топливом социальных объектов, населения и своевременном выделении средств льготной категории граждан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Правительства Кыргызской Республики в областях (далее - аппараты полномочных представителей ПКР), по согласованию: мэрии городов Бишкек и Ош, предприятия топливно-энергетического комплекса (далее - предприятия ТЭК)</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проведение совещания руководителей и экспертов водохозяйственных и энергетических отраслей Кыргызской Республики, Республики Казахстан, Республики Таджикистан и Республики Узбекистан по взаимоотношениям в водно-энергетической сфере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Департамент водного хозяйства и мелиорации при МСХМ, по согласованию: ОАО "Электрические станции", ОАО "НЭС Кыргызстана"</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Выполнять расчеты водно-энергетических режимов использования воды Токтогульского водохранилища на период 2015 года и I квартал 2016 года на основе прогноза и ожидаемого объема электропотребления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 (при уточнении прогнозных данных уровня воды в Токтогульском водохранилище по фактическому притоку воды на 1 июля 2015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превышения установленного лимита потребления электрической и тепловой энергии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местные государственные администрации, по согласованию: мэрии городов Бишкек и Ош</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ежесуточное представление ОАО "НЭС Кыргызстана" почасовых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заключенных контрактов, а также выполнение команд Центральной диспетчерской службы ОАО "НЭС Кыргызстана", соблюдение диспетчерской дисциплины по выполнению суточных графиков нагрузок</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контракты на передачу электрической энергии с распределительными электрокомпаниями, крупными промышленными предприятиями и другими лицензиатами, установив разрешенную к потреблению мощность по каждому присоединению, подключенному к подстанциям ОАО "НЭС Кыргызстана"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ОАО "Северэлектро", ОАО "Востокэлектро", ОАО "Ошэлектро", ОАО "Жалалабатэлектро" крупные промышленные предприятия, оптовые покупатели-перепродавцы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на рассмотрение в Министерство энергетики и промышленности Кыргызской Республики Порядок планирования лицензиатами объемов суточного потребления электрической энергии и мощности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установленный срок</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договоры с АО "KEGOC" на передачу электроэнергии с юга на север Кыргызской Республики по маршруту Кыргызстан - Казахстан - Кыргызстан через сети АО "KEGOC" на осенне-зимний период 2015/2016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к работе в осенне-зимний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графику ремонтов</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ОАО "Бишкектеплосеть" согласовать температурный график работы теплосети и обеспечивать его безусловное выполнение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(по согласованию)</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9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представление ОАО "НЭС Кыргызстана" часовых суточных графиков потребления электрической энергии и мощности на основании заданий согласно приложениям 2-11 к настоящему постановлению и заключенных контрактов;</w:t>
            </w:r>
          </w:p>
          <w:p>
            <w:pPr>
              <w:jc w:val="left"/>
            </w:pPr>
            <w:r>
              <w:rPr>
                <w:rFonts w:ascii="Arial" w:cs="Arial" w:eastAsia="Arial" w:hAnsi="Arial"/>
                <w:sz w:val="24"/>
                <w:szCs w:val="24"/>
              </w:rPr>
              <w:t xml:space="preserve">- не допускать превышения разрешенной суточными графиками величины передаваемой ОАО "НЭС Кыргызстана" электрической энергии и мощности;</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1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лицензиаты на передачу и поставку электрической энергии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разработать, согласовать, утвердить, довести до потребителей и соблюдать графики ограничения местной разгрузки;</w:t>
            </w:r>
          </w:p>
          <w:p>
            <w:pPr>
              <w:jc w:val="left"/>
            </w:pPr>
            <w:r>
              <w:rPr>
                <w:rFonts w:ascii="Arial" w:cs="Arial" w:eastAsia="Arial" w:hAnsi="Arial"/>
                <w:sz w:val="24"/>
                <w:szCs w:val="24"/>
              </w:rPr>
              <w:t xml:space="preserve">- отключать от подстанции линии электропередачи, на которых допускается превышение потребления электрической энергии и мощности, в объемах, задаваемых ОАО "НЭС Кыргызстана", для предотвращения возникновения аварийной ситуации в энергосистеме или для разгрузки перегружаемых линий и трансформаторов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работ по капитальному ремонту, повышению надежности энергоснабжения и созданию аварийного запаса материально-технических ресурсов</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базы данных соответствующих служб энергокомпаний определить и утвердить перечень электрических промышленных котельных, электрических котлов бытовых потребителей, работа которых разрешается в отопительный период 2015/2016 года, с указанием разрешенной мощности электрических котлов, режима их работы и лимита потребления электроэнергии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 по согласованию: ОАО "Электрические станции", ОАО "НЭС Кыргызстана", ОАО "Северэлектро", ОАО "Востокэлектро", ОАО "Ошэлектро",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графики работы электрокотлов, используемых для отопления и горячего водоснабжения, кроме электрокотельных, снабжающих теплом многоквартирные жилые дома, с обязательным их отключением в часы максимальных нагрузок энергосистемы, довести до структурных подразделений и обеспечить контроль за их соблюдением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 сентября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местные государственные администрации, Госпогранслужба, по согласованию: органы местного самоуправления, ОАО "Северэлектро", ОАО "Востокэлектро", ОАО "Ошэлектро",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 ОАО "Востокэлектро", ОАО "Ошэлектро", ОАО "Жалалабатэлектро" (по согласованию)</w:t>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9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Продолжить работу в регионах по поэтапному переводу источников теплоснабжения, использующих электроэнергию и природный газ для выработки тепловой энергии, на твердое топливо,</w:t>
            </w:r>
          </w:p>
        </w:tc>
        <w:tc>
          <w:tcPr>
            <w:tcW w:type="dxa" w:w="1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w:t>
            </w:r>
          </w:p>
        </w:tc>
        <w:tc>
          <w:tcPr>
            <w:tcW w:type="dxa" w:w="41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vMerge w:val="continue"/>
            <w:tcBorders>
              <w:top w:val="none" w:color="auto" w:sz="0"/>
              <w:left w:val="single" w:color="CBBF9E" w:sz="4"/>
              <w:bottom w:val="single" w:color="CBBF9E" w:sz="4"/>
              <w:right w:val="single" w:color="CBBF9E" w:sz="4"/>
            </w:tcBorders>
          </w:tcP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программу и график поэтапного перевода вышеуказанных источников теплоснабжения с указанием размера денежных средств с представлением информации в Минэнергопром и Минфин</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2015 года</w:t>
            </w:r>
          </w:p>
        </w:tc>
        <w:tc>
          <w:tcPr>
            <w:vMerge w:val="continue"/>
            <w:tcBorders>
              <w:top w:val="none" w:color="auto" w:sz="0"/>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2015/2016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2015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Госпогранслужба, ГП "Кыргызжилкоммунсоюз", местные государственные администрации, по согласованию: мэрии городов Бишкек и Ош, КП "Бишкектеплоэнерго"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распределение электрической энергии и мощности организациям в пределах величины выделенного лимита потребления электроэнергии и мощности, установленных приложениями 2-11 к настоящему постановлению</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по согласованию: предприятия ТЭК, ОАО "Северэлектро", ОАО "Ошэлектро", ОАО "Востокэлектро", ОАО "Жалалабатэлектро", мэрии городов Бишкек и Ош</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в полном объеме и в приоритетном порядке оплату за потребленную бюджетными организациями электрическую, тепловую энергию и природный газ</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местные государственные администрации</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согласно заключенным договорам и создать дополнительные топливные базы в населенных пунктах, не охваченных в осенне-зимний период 2014/2015 года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2015 года по 1 марта 2016 года</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государственные администрации, ГП "Кыргызкомур", по согласованию: органы местного самоуправления, угледобывающие предприятия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w:t>
            </w:r>
          </w:p>
          <w:p>
            <w:pPr>
              <w:jc w:val="left"/>
            </w:pPr>
            <w:r>
              <w:rPr>
                <w:rFonts w:ascii="Arial" w:cs="Arial" w:eastAsia="Arial" w:hAnsi="Arial"/>
                <w:sz w:val="24"/>
                <w:szCs w:val="24"/>
              </w:rPr>
              <w:t xml:space="preserve">Представлять соответствующую информацию в Минэнергопром</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начиная с 1 августа 2015 года - еженедельно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административные ведомства, аппараты полномочных представителей ПКР, ГП "Кыргызкомур", по согласованию: мэрии городов Бишкек и Ош и угледобывающие предприятия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условиях, недоступных для использования другой техники</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по согласованию: ОАО "НЭС Кыргызстана", ОАО "Северэлектро", ОАО "Ошэлектро", ОАО "Востокэлектро", ОАО "Жалалабатэлектро"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финансируемых из республиканского бюджета, для осуществления ОсОО "Газпром Кыргызстан" предварительной оплаты за природный газ согласно условиям контракта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 периодом</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аппараты полномочных представителей ПКР, министерства и административные ведомства, по согласованию: мэрии городов Бишкек и Ош, предприятия ТЭК</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разбронировании из государственного материального резерва угля, находящегося на хранении на складе ТЭЦ города Бишкек, передавать разбронированный уголь ОАО "Электрические станции" в порядке заимствования, согласно статье 18 Закона Кыргызской Республики "О государственном материальном резерве"</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разъяснительную работу среди населения через средства массовой информации о необходимости рационального и эффективного использования топлива и энергии, энергосбережения и заготовки топлива, о проводимых мероприятиях по успешному прохождению предстоящего отопительного периода</w:t>
            </w:r>
          </w:p>
        </w:tc>
        <w:tc>
          <w:tcPr>
            <w:tcW w:type="dxa" w:w="1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4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аппараты полномочных представителей ПКР, по согласованию: мэрии городов Бишкек и Ош, предприятия ТЭК</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Джалал-Абадской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1655"/>
        <w:gridCol w:w="647"/>
        <w:gridCol w:w="622"/>
        <w:gridCol w:w="622"/>
        <w:gridCol w:w="622"/>
        <w:gridCol w:w="622"/>
        <w:gridCol w:w="622"/>
        <w:gridCol w:w="622"/>
        <w:gridCol w:w="622"/>
        <w:gridCol w:w="622"/>
        <w:gridCol w:w="622"/>
        <w:gridCol w:w="622"/>
        <w:gridCol w:w="622"/>
        <w:gridCol w:w="622"/>
      </w:tblGrid>
      <w:tr>
        <w:tc>
          <w:tcPr>
            <w:tcW w:type="dxa" w:w="4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9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235,913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316,569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291,615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182,735</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1717,432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211,917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149,453</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91,771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254,302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19,772</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5,256</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1 2.1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r>
              <w:rPr>
                <w:rFonts w:ascii="Arial" w:cs="Arial" w:eastAsia="Arial" w:hAnsi="Arial"/>
                <w:sz w:val="24"/>
                <w:szCs w:val="24"/>
              </w:rPr>
              <w:t xml:space="preserve">0</w:t>
            </w: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r>
              <w:rPr>
                <w:rFonts w:ascii="Arial" w:cs="Arial" w:eastAsia="Arial" w:hAnsi="Arial"/>
                <w:sz w:val="24"/>
                <w:szCs w:val="24"/>
              </w:rPr>
              <w:t xml:space="preserve">46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178,700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0,0770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0,0567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0,0283</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0,219</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Ошской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694"/>
        <w:gridCol w:w="662"/>
        <w:gridCol w:w="610"/>
        <w:gridCol w:w="610"/>
        <w:gridCol w:w="610"/>
        <w:gridCol w:w="610"/>
        <w:gridCol w:w="610"/>
        <w:gridCol w:w="610"/>
        <w:gridCol w:w="610"/>
        <w:gridCol w:w="610"/>
        <w:gridCol w:w="610"/>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90"/>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1092,435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79,622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73,676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115,899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122,152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1016,584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50,762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48,717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115,616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0,0227</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0,0454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0,094</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0,0382</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0,0006</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0,0019</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0,0053</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городу Ош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1667"/>
        <w:gridCol w:w="597"/>
        <w:gridCol w:w="614"/>
        <w:gridCol w:w="614"/>
        <w:gridCol w:w="614"/>
        <w:gridCol w:w="614"/>
        <w:gridCol w:w="614"/>
        <w:gridCol w:w="614"/>
        <w:gridCol w:w="614"/>
        <w:gridCol w:w="614"/>
        <w:gridCol w:w="614"/>
        <w:gridCol w:w="641"/>
        <w:gridCol w:w="641"/>
        <w:gridCol w:w="641"/>
      </w:tblGrid>
      <w:tr>
        <w:tc>
          <w:tcPr>
            <w:tcW w:type="dxa" w:w="46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5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2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904,215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64,521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42,695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41,449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59,262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97,146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117,488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133,113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113,896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102,486</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818,227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59,421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38,217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53,706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86,796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105,244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121,740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103,588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93,058</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2,369</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31,245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4,932</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ll</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0,0030</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Баткенской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1309"/>
        <w:gridCol w:w="629"/>
        <w:gridCol w:w="648"/>
        <w:gridCol w:w="648"/>
        <w:gridCol w:w="648"/>
        <w:gridCol w:w="648"/>
        <w:gridCol w:w="648"/>
        <w:gridCol w:w="648"/>
        <w:gridCol w:w="648"/>
        <w:gridCol w:w="648"/>
        <w:gridCol w:w="648"/>
        <w:gridCol w:w="652"/>
        <w:gridCol w:w="652"/>
        <w:gridCol w:w="652"/>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83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838,568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57,989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51,657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85,035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93,407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80,411</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644,662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29,492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68,384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82,920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73,318</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8,291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4,465</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3,501</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65,678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0,303</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0,080</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0,0513</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0,0171</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0,067</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0,456</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0,3364</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0,0063</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0,0271</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0,0475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0,0725</w:t>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0,0275</w:t>
            </w:r>
          </w:p>
        </w:tc>
      </w:tr>
      <w:tr>
        <w:tc>
          <w:tcPr>
            <w:tcW w:type="dxa" w:w="45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0,615</w:t>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Чуйской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8"/>
        <w:gridCol w:w="678"/>
        <w:gridCol w:w="678"/>
        <w:gridCol w:w="678"/>
        <w:gridCol w:w="678"/>
        <w:gridCol w:w="678"/>
        <w:gridCol w:w="678"/>
      </w:tblGrid>
      <w:tr>
        <w:tc>
          <w:tcPr>
            <w:tcW w:type="dxa" w:w="6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10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3378,590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297,154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186,484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178,866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177,656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304,105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338,098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411,897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419,412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376,044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333,847</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2437,320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126,278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116,810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117,250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120,315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304,545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322,534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284,855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245,080</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529,840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44,336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41,902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49,973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38,884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44,133</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410,096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19,928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44,544</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0,090</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r>
              <w:rPr>
                <w:rFonts w:ascii="Arial" w:cs="Arial" w:eastAsia="Arial" w:hAnsi="Arial"/>
                <w:sz w:val="24"/>
                <w:szCs w:val="24"/>
              </w:rPr>
              <w:t xml:space="preserve">8</w:t>
            </w:r>
            <w:r>
              <w:rPr>
                <w:rFonts w:ascii="Arial" w:cs="Arial" w:eastAsia="Arial" w:hAnsi="Arial"/>
                <w:sz w:val="24"/>
                <w:szCs w:val="24"/>
              </w:rPr>
              <w:t xml:space="preserve">,970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0,359</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0,663</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r>
              <w:rPr>
                <w:rFonts w:ascii="Arial" w:cs="Arial" w:eastAsia="Arial" w:hAnsi="Arial"/>
                <w:sz w:val="24"/>
                <w:szCs w:val="24"/>
              </w:rPr>
              <w:t xml:space="preserve">,5</w:t>
            </w:r>
            <w:r>
              <w:rPr>
                <w:rFonts w:ascii="Arial" w:cs="Arial" w:eastAsia="Arial" w:hAnsi="Arial"/>
                <w:sz w:val="24"/>
                <w:szCs w:val="24"/>
              </w:rPr>
              <w:t xml:space="preserve">59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0,3650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0,0730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0,0365</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0,263</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1,4532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0,0007</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0,2783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0,3095</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0,2041</w:t>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12,360</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29,922</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1,956</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9,754</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Таласской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66,293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64,917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47,518</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45,503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0,0264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0,0088</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0,0038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0,0029</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городу Бишкек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455"/>
        <w:gridCol w:w="662"/>
        <w:gridCol w:w="636"/>
        <w:gridCol w:w="636"/>
        <w:gridCol w:w="636"/>
        <w:gridCol w:w="636"/>
        <w:gridCol w:w="636"/>
        <w:gridCol w:w="636"/>
        <w:gridCol w:w="636"/>
        <w:gridCol w:w="636"/>
        <w:gridCol w:w="636"/>
        <w:gridCol w:w="636"/>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724"/>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3313,616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273,186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181,451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180,735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82,491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184,428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272,773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329,355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434,847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312,587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2596,868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345,634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288,132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237,402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371,635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26,684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36,801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34,228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270,583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городу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0,0137</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0,535</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0,321</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42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Нарынской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1718"/>
        <w:gridCol w:w="601"/>
        <w:gridCol w:w="618"/>
        <w:gridCol w:w="618"/>
        <w:gridCol w:w="618"/>
        <w:gridCol w:w="618"/>
        <w:gridCol w:w="618"/>
        <w:gridCol w:w="618"/>
        <w:gridCol w:w="618"/>
        <w:gridCol w:w="618"/>
        <w:gridCol w:w="618"/>
        <w:gridCol w:w="622"/>
        <w:gridCol w:w="622"/>
        <w:gridCol w:w="622"/>
      </w:tblGrid>
      <w:tr>
        <w:tc>
          <w:tcPr>
            <w:tcW w:type="dxa" w:w="4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562"/>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705,220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36,479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40,096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74,744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92,913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101,598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92,418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83,129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83,500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3,854</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0,173</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0,129</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13,302</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0,0492</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0,0328</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0,156</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0,039</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0,023</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0,528</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0,0690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0,0124</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0,0151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0,0110</w:t>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0,180</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0,231</w:t>
            </w:r>
          </w:p>
        </w:tc>
        <w:tc>
          <w:tcPr>
            <w:tcW w:type="dxa" w:w="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Иссык-Кульской области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1676"/>
        <w:gridCol w:w="656"/>
        <w:gridCol w:w="604"/>
        <w:gridCol w:w="604"/>
        <w:gridCol w:w="604"/>
        <w:gridCol w:w="604"/>
        <w:gridCol w:w="604"/>
        <w:gridCol w:w="604"/>
        <w:gridCol w:w="604"/>
        <w:gridCol w:w="604"/>
        <w:gridCol w:w="604"/>
        <w:gridCol w:w="630"/>
        <w:gridCol w:w="630"/>
        <w:gridCol w:w="630"/>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3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1495,952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155,381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199,964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177,573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167,142</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3,751</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14,573</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0,118</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области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16,526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0,400</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0,982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0,0448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0,0149</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0,075</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0,133</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0,031</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0,019</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0,0004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0,0024</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0,0044</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0,0016</w:t>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5,200</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0,930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ЛИМИТЫ
 потребления электрической энергии и мощности и создание необходимого запаса топлива по Кыргызской Республике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1596"/>
        <w:gridCol w:w="690"/>
        <w:gridCol w:w="609"/>
        <w:gridCol w:w="609"/>
        <w:gridCol w:w="609"/>
        <w:gridCol w:w="609"/>
        <w:gridCol w:w="609"/>
        <w:gridCol w:w="609"/>
        <w:gridCol w:w="609"/>
        <w:gridCol w:w="609"/>
        <w:gridCol w:w="609"/>
        <w:gridCol w:w="638"/>
        <w:gridCol w:w="638"/>
        <w:gridCol w:w="638"/>
      </w:tblGrid>
      <w:tr>
        <w:tc>
          <w:tcPr>
            <w:tcW w:type="dxa" w:w="5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мероприятий</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5481"/>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кВт.час)</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 энергии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14316,719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1096,239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777,199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738,393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779,189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765,476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736,408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1083,513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1479,744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1829,589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1918,726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1678,049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1434,194</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 энергии по РЭК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11349,784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880,871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586,757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568,288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543,546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837,639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1187,366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1489,519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1584,921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1382,808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1160,645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электрической энергии по КПП</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1309,696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104,982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118,628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129,952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105,787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103,581</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1008,829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59,670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138,529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145,806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128,582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0,883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нужды ОАО "Электрические станции"</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17,028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26,490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47,030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43,506</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республике с учетом транзитных потерь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РЭК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Кумтору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транзитные потери ОАО "НЭС Кыргызстана", МВт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котельных по республике, всего: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создание запасов топлива:</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1037,379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38,143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190,825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163,726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146,158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98,154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9,096</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0,338</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12,831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0,947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0,4844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0,4844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0,3229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0,1615</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ГПС,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ГСИН,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Минсоцразвития,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1,9953</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0,0057</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0,0045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0,0098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0,0468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0,3564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0,4292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0,4479</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0,4236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0,2574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Агентства ПТО при МТММ,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республиканский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2,946</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56,658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8,494</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ГП "Кыргызжилкоммунсоюз",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19,816</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Бишкек:</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135,000</w:t>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ТЭЦ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0,500</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ЗАДАНИЕ
 Министерству энергетики и промышленности Кыргызской Республики, ГП "Кыргызкомур", ОсОО "Газпром Кыргызстан", ОАО "Кыргызнефтегаз", ОАО "Электрические станции" на поставку угля, природного газа и мазута на тепловые электростанции ОАО "Электрические станции" для подготовки к осенне-зимнему сезону 2015/2016 года</w:t>
      </w:r>
    </w:p>
    <w:p>
      <w:pPr>
        <w:spacing w:after="60"/>
        <w:ind w:firstLine="567"/>
        <w:jc w:val="right"/>
      </w:pPr>
      <w:r>
        <w:rPr>
          <w:rFonts w:ascii="Arial" w:cs="Arial" w:eastAsia="Arial" w:hAnsi="Arial"/>
          <w:sz w:val="24"/>
          <w:szCs w:val="24"/>
        </w:rPr>
        <w:t xml:space="preserve">(уголь, 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609"/>
        <w:gridCol w:w="747"/>
        <w:gridCol w:w="434"/>
        <w:gridCol w:w="434"/>
        <w:gridCol w:w="434"/>
        <w:gridCol w:w="434"/>
        <w:gridCol w:w="434"/>
        <w:gridCol w:w="434"/>
        <w:gridCol w:w="434"/>
        <w:gridCol w:w="434"/>
        <w:gridCol w:w="434"/>
        <w:gridCol w:w="434"/>
        <w:gridCol w:w="434"/>
        <w:gridCol w:w="434"/>
        <w:gridCol w:w="434"/>
        <w:gridCol w:w="434"/>
        <w:gridCol w:w="434"/>
        <w:gridCol w:w="434"/>
        <w:gridCol w:w="955"/>
      </w:tblGrid>
      <w:tr>
        <w:tc>
          <w:tcPr>
            <w:tcW w:type="dxa" w:w="9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на 01.04.2015 г.</w:t>
            </w:r>
          </w:p>
        </w:tc>
        <w:tc>
          <w:tcPr>
            <w:tcW w:type="dxa" w:w="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 I-IV кв. 2015 г. и в </w:t>
            </w:r>
            <w:r>
              <w:rPr>
                <w:rFonts w:ascii="Arial" w:cs="Arial" w:eastAsia="Arial" w:hAnsi="Arial"/>
                <w:b/>
                <w:bCs/>
                <w:sz w:val="24"/>
                <w:szCs w:val="24"/>
              </w:rPr>
              <w:t xml:space="preserve">I</w:t>
            </w:r>
            <w:r>
              <w:rPr>
                <w:rFonts w:ascii="Arial" w:cs="Arial" w:eastAsia="Arial" w:hAnsi="Arial"/>
                <w:b/>
                <w:bCs/>
                <w:sz w:val="24"/>
                <w:szCs w:val="24"/>
              </w:rPr>
              <w:t xml:space="preserve"> кв. 2016 г.</w:t>
            </w:r>
          </w:p>
        </w:tc>
        <w:tc>
          <w:tcPr>
            <w:tcW w:type="dxa" w:w="6944"/>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w:t>
            </w:r>
          </w:p>
        </w:tc>
        <w:tc>
          <w:tcPr>
            <w:tcW w:type="dxa" w:w="9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08"/>
            <w:gridSpan w:val="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73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угледобывающие предприятия</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М-100, ТКМ-16)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г.Бишкек</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 ДГ, Г</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каменный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"Кыргызкомур", угледобывающие предприятия</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М-100, ТКМ-16)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ТЭЦ Ош</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"КНГ"</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0,035</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0,086</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0,043</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0,154</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ОсОО "ГК"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МЭП - Министерство энергетики и промышленности Кыргызской Республики, ОАО "ЭС" - открытое акционерное общество "Электрические станции", ОсОО "ГК" - общество с ограниченной ответственностью "Газпром Кыргызстан", ОАО "КНГ" - открытое акционерное общество "Кыргызнефтегаз", ГП "Кыргызкомур" - государственное предприятие "Кыргызкомур" при Министерстве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13</w:t>
      </w:r>
    </w:p>
    <w:p>
      <w:pPr>
        <w:spacing w:after="60"/>
        <w:ind w:firstLine="567"/>
        <w:jc w:val="right"/>
      </w:pPr>
      <w:r>
        <w:rPr>
          <w:rFonts w:ascii="Arial" w:cs="Arial" w:eastAsia="Arial" w:hAnsi="Arial"/>
          <w:sz w:val="20"/>
          <w:szCs w:val="20"/>
        </w:rPr>
        <w:t xml:space="preserve">Приложение 13</w:t>
      </w:r>
    </w:p>
    <w:p>
      <w:pPr>
        <w:spacing w:after="400" w:before="400"/>
        <w:jc w:val="center"/>
      </w:pPr>
      <w:r>
        <w:rPr>
          <w:rFonts w:ascii="Arial" w:cs="Arial" w:eastAsia="Arial" w:hAnsi="Arial"/>
          <w:b/>
          <w:bCs/>
          <w:sz w:val="32"/>
          <w:szCs w:val="32"/>
        </w:rPr>
        <w:t xml:space="preserve">ЗАДАНИЕ
 ОАО "Кыргызнефтегаз" на поставку природного газа и мазута в осенне-зимний период 2015/2016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ve8zuq-u5yp7zxgmiq_c">
        <w:r>
          <w:rPr>
            <w:rFonts w:ascii="Arial" w:cs="Arial" w:eastAsia="Arial" w:hAnsi="Arial"/>
            <w:i/>
            <w:iCs/>
            <w:color w:val="1D4ED8"/>
            <w:sz w:val="24"/>
            <w:szCs w:val="24"/>
            <w:u w:val="single"/>
          </w:rPr>
          <w:t xml:space="preserve">12 октября 2015 года № 704</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(мазут - тыс.т, газ - млн. м</w:t>
      </w:r>
      <w:r>
        <w:rPr>
          <w:rFonts w:ascii="Arial" w:cs="Arial" w:eastAsia="Arial" w:hAnsi="Arial"/>
          <w:sz w:val="24"/>
          <w:szCs w:val="24"/>
        </w:rPr>
        <w:t xml:space="preserve">3</w:t>
      </w: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7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II-IV кв. 2015 г. и </w:t>
            </w:r>
            <w:r>
              <w:rPr>
                <w:rFonts w:ascii="Arial" w:cs="Arial" w:eastAsia="Arial" w:hAnsi="Arial"/>
                <w:b/>
                <w:bCs/>
                <w:sz w:val="24"/>
                <w:szCs w:val="24"/>
              </w:rPr>
              <w:t xml:space="preserve">I </w:t>
            </w:r>
            <w:r>
              <w:rPr>
                <w:rFonts w:ascii="Arial" w:cs="Arial" w:eastAsia="Arial" w:hAnsi="Arial"/>
                <w:b/>
                <w:bCs/>
                <w:sz w:val="24"/>
                <w:szCs w:val="24"/>
              </w:rPr>
              <w:t xml:space="preserve">кв. 2016 г.</w:t>
            </w:r>
          </w:p>
          <w:p>
            <w:pPr>
              <w:jc w:val="center"/>
            </w:pPr>
            <w:r>
              <w:rPr>
                <w:rFonts w:ascii="Arial" w:cs="Arial" w:eastAsia="Arial" w:hAnsi="Arial"/>
                <w:b/>
                <w:bCs/>
                <w:sz w:val="24"/>
                <w:szCs w:val="24"/>
              </w:rPr>
              <w:t xml:space="preserve">Всего</w:t>
            </w:r>
          </w:p>
        </w:tc>
        <w:tc>
          <w:tcPr>
            <w:tcW w:type="dxa" w:w="872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43"/>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18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гор. Ош, всего:</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от ОАО "Кыргызнефтегаз"</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 импортный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Ошского МП "Теплоснабжение"</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частей Государственной пограничной службы</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ГП "Кыргызжилкоммунсоюз", всего:</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ОАО "Кыргызнефтегаз";</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 импортный</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7,513</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1,376</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14</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5"/>
        <w:gridCol w:w="671"/>
        <w:gridCol w:w="671"/>
        <w:gridCol w:w="671"/>
        <w:gridCol w:w="671"/>
        <w:gridCol w:w="671"/>
        <w:gridCol w:w="671"/>
        <w:gridCol w:w="804"/>
        <w:gridCol w:w="755"/>
      </w:tblGrid>
      <w:tr>
        <w:tc>
          <w:tcPr>
            <w:tcW w:type="dxa" w:w="45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2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
 Всего:</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
 I кв.</w:t>
            </w:r>
          </w:p>
        </w:tc>
      </w:tr>
      <w:tr>
        <w:tc>
          <w:tcPr>
            <w:vMerge w:val="continue"/>
            <w:tcBorders>
              <w:top w:val="single" w:color="CBBF9E" w:sz="4"/>
              <w:left w:val="single" w:color="CBBF9E" w:sz="4"/>
              <w:bottom w:val="single" w:color="CBBF9E" w:sz="4"/>
              <w:right w:val="single" w:color="CBBF9E" w:sz="4"/>
            </w:tcBorders>
          </w:tcP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мес.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 мес.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в Токтогульском водохранилище, при среднемноголетней приточности воды (млрд.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842,50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860,45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860,45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872,30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863,05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847,07</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 всего: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2362,1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8948,7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3986,4</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12935,1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4651,1</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7591,6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3347,8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10939,3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777,6</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электроэнергии в сети ОАО "НЭС Кыргызстана"</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7062,9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9691,1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13961,8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4906,8</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импорт электроэнергии</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134,1</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1584,1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400,18</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400,36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400,44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КПП</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377,5</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 РЭК</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3892,0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5870,2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10966,9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4063,3</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5975,5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1684,9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7660,4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3514,5</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11174,9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4128,4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ОАО "Северэлектро"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1974,0</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3021,2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5549,5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1896,4</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284,6</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663,6</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744,7</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2350,9</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964,8</w:t>
            </w:r>
          </w:p>
        </w:tc>
      </w:tr>
      <w:tr>
        <w:tc>
          <w:tcPr>
            <w:tcW w:type="dxa" w:w="45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270,5</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826,9</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1089,3</w:t>
            </w:r>
          </w:p>
        </w:tc>
        <w:tc>
          <w:tcPr>
            <w:tcW w:type="dxa" w:w="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581,0</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603,5</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15</w:t>
      </w:r>
    </w:p>
    <w:p>
      <w:pPr>
        <w:spacing w:after="400" w:before="400"/>
        <w:jc w:val="center"/>
      </w:pPr>
      <w:r>
        <w:rPr>
          <w:rFonts w:ascii="Arial" w:cs="Arial" w:eastAsia="Arial" w:hAnsi="Arial"/>
          <w:b/>
          <w:bCs/>
          <w:sz w:val="32"/>
          <w:szCs w:val="32"/>
        </w:rPr>
        <w:t xml:space="preserve">ЗАДАНИЕ
 ОАО "Электрические станции" на выработку электроэнергии и мощности на ТЭЦ города Бишкек на 2015 год и I квартал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368"/>
        <w:gridCol w:w="489"/>
        <w:gridCol w:w="489"/>
        <w:gridCol w:w="489"/>
        <w:gridCol w:w="489"/>
        <w:gridCol w:w="489"/>
        <w:gridCol w:w="489"/>
        <w:gridCol w:w="489"/>
        <w:gridCol w:w="489"/>
        <w:gridCol w:w="489"/>
        <w:gridCol w:w="489"/>
        <w:gridCol w:w="489"/>
        <w:gridCol w:w="489"/>
        <w:gridCol w:w="489"/>
        <w:gridCol w:w="489"/>
        <w:gridCol w:w="492"/>
        <w:gridCol w:w="492"/>
        <w:gridCol w:w="492"/>
        <w:gridCol w:w="492"/>
      </w:tblGrid>
      <w:tr>
        <w:tc>
          <w:tcPr>
            <w:tcW w:type="dxa" w:w="1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846"/>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9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638,6</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1995,85</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241,9</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w:t>
            </w:r>
          </w:p>
        </w:tc>
      </w:tr>
      <w:tr>
        <w:tc>
          <w:tcPr>
            <w:tcW w:type="dxa" w:w="1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на выработку электроэнергии и мощности на ТЭЦ города Ош на 2014 год и I квартал 2015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5"/>
        <w:gridCol w:w="399"/>
        <w:gridCol w:w="477"/>
        <w:gridCol w:w="477"/>
        <w:gridCol w:w="477"/>
        <w:gridCol w:w="477"/>
        <w:gridCol w:w="477"/>
        <w:gridCol w:w="477"/>
        <w:gridCol w:w="477"/>
        <w:gridCol w:w="477"/>
        <w:gridCol w:w="477"/>
        <w:gridCol w:w="477"/>
        <w:gridCol w:w="477"/>
        <w:gridCol w:w="477"/>
        <w:gridCol w:w="477"/>
        <w:gridCol w:w="477"/>
        <w:gridCol w:w="502"/>
        <w:gridCol w:w="502"/>
        <w:gridCol w:w="502"/>
        <w:gridCol w:w="502"/>
      </w:tblGrid>
      <w:tr>
        <w:tc>
          <w:tcPr>
            <w:tcW w:type="dxa" w:w="10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6678"/>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Апрель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Май</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Июнь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Июль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Август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Сентябрь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0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16</w:t>
      </w:r>
    </w:p>
    <w:p>
      <w:pPr>
        <w:spacing w:after="400" w:before="400"/>
        <w:jc w:val="center"/>
      </w:pPr>
      <w:r>
        <w:rPr>
          <w:rFonts w:ascii="Arial" w:cs="Arial" w:eastAsia="Arial" w:hAnsi="Arial"/>
          <w:b/>
          <w:bCs/>
          <w:sz w:val="32"/>
          <w:szCs w:val="32"/>
        </w:rPr>
        <w:t xml:space="preserve">ЗАДАНИЕ
 ОАО "Электрические станции", ОАО "НЭС Кыргызстана", распределительным электрокомпаниям и ОАО "Бишкектеплосеть" по подготовке ТЭЦ и ГЭС, электро- и тепловых сетей к эксплуатации в осенне-зимний период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488"/>
        <w:gridCol w:w="859"/>
        <w:gridCol w:w="844"/>
        <w:gridCol w:w="844"/>
        <w:gridCol w:w="844"/>
        <w:gridCol w:w="844"/>
        <w:gridCol w:w="844"/>
        <w:gridCol w:w="2068"/>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2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оборудования</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42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w:t>
            </w:r>
          </w:p>
        </w:tc>
        <w:tc>
          <w:tcPr>
            <w:vMerge w:val="continue"/>
            <w:tcBorders>
              <w:top w:val="single" w:color="CBBF9E" w:sz="4"/>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w:t>
            </w:r>
          </w:p>
          <w:p>
            <w:pPr>
              <w:jc w:val="left"/>
            </w:pPr>
            <w:r>
              <w:rPr>
                <w:rFonts w:ascii="Arial" w:cs="Arial" w:eastAsia="Arial" w:hAnsi="Arial"/>
                <w:sz w:val="24"/>
                <w:szCs w:val="24"/>
              </w:rPr>
              <w:t xml:space="preserve">пара/ч</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Турбины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Турбогенераторы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 Кыргызстана",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610,29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338,66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367,72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38,57</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210,23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49,24</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ПС-35/6/10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861,0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1238,14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1053,38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130,02</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38,231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33,388</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10/6/0,4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879,6</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"Бишкектеплосеть"</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 в т.ч.:</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vMerge w:val="continue"/>
            <w:tcBorders>
              <w:top w:val="none" w:color="auto" w:sz="0"/>
              <w:left w:val="none" w:color="auto" w:sz="0"/>
              <w:bottom w:val="single" w:color="CBBF9E" w:sz="4"/>
              <w:right w:val="single" w:color="CBBF9E" w:sz="4"/>
            </w:tcBorders>
          </w:tcP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95,44</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ОАО "Северэлектро", ОАО "Востокэлектро", ОАО "Жалалабатэлектро", ОАО "Ошэлектро" по строительству и реконструкции ВЛ 0,4-10 кВ, ТП 10/0,4 кВ в 2015 году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mduwaqzjhl7la7_sxrcd8">
        <w:r>
          <w:rPr>
            <w:rFonts w:ascii="Arial" w:cs="Arial" w:eastAsia="Arial" w:hAnsi="Arial"/>
            <w:i/>
            <w:iCs/>
            <w:color w:val="1D4ED8"/>
            <w:sz w:val="24"/>
            <w:szCs w:val="24"/>
            <w:u w:val="single"/>
          </w:rPr>
          <w:t xml:space="preserve">12 октября 2015 года № 704)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3603"/>
        <w:gridCol w:w="757"/>
        <w:gridCol w:w="661"/>
        <w:gridCol w:w="661"/>
        <w:gridCol w:w="661"/>
        <w:gridCol w:w="661"/>
        <w:gridCol w:w="661"/>
        <w:gridCol w:w="2021"/>
      </w:tblGrid>
      <w:tr>
        <w:tc>
          <w:tcPr>
            <w:tcW w:type="dxa" w:w="4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6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33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20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w:t>
            </w:r>
            <w:r>
              <w:rPr>
                <w:rFonts w:ascii="Arial" w:cs="Arial" w:eastAsia="Arial" w:hAnsi="Arial"/>
                <w:b/>
                <w:bCs/>
                <w:sz w:val="24"/>
                <w:szCs w:val="24"/>
              </w:rPr>
              <w:t xml:space="preserve">кв.</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V</w:t>
            </w:r>
            <w:r>
              <w:rPr>
                <w:rFonts w:ascii="Arial" w:cs="Arial" w:eastAsia="Arial" w:hAnsi="Arial"/>
                <w:b/>
                <w:bCs/>
                <w:sz w:val="24"/>
                <w:szCs w:val="24"/>
              </w:rPr>
              <w:t xml:space="preserve"> кв.</w:t>
            </w:r>
          </w:p>
        </w:tc>
        <w:tc>
          <w:tcPr>
            <w:vMerge w:val="continue"/>
            <w:tcBorders>
              <w:top w:val="single" w:color="CBBF9E" w:sz="4"/>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"Северэлектро"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18695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62"/>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0,4 кВ СИП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4062"/>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"Востокэлектро"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 10-0,4 кВ строительство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ВЛ-10-0,4 кВ реконструкция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"Ошэлектро"</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на ВЛ-35 кВ "Пахтачи - Тоо-Моюн"</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ПС "Ош 2" (замена КРУН-10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ЗРУ-6 кВ на ПС "Ош 4"</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ПСН-35 кВ на ПС "Терек-Суу"</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062"/>
            <w:gridSpan w:val="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gridSpan w:val="6"/>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КЛ-6-10-0,4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ПС"Ош 2" (замена КРУН-10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ЗРУ-6 кВ на ПС "Ош 4"</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BЛ-10-0,4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опор на ВЛ-35 кВ "Пахтачи - Тоо-Моюн"</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ПСН-35 кВ на ПС "Терек-Суу"</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силовых трансформаторов на действующих ТП</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Вынос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"Жалалабатэлектро"</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406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трансформаторов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КТП 6-10/0,4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приборов учета</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ВЛ-35 кВ "Шекафтар-Ажек"</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административного корпуса Аксыйского РЭС</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механического цеха при базе ПВТ</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GSM счетчиков на ПС-35/6-10 кВ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АСКУЭ</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3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70,71</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23,98</w:t>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18</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в осенне-зимний период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447"/>
        <w:gridCol w:w="842"/>
        <w:gridCol w:w="842"/>
        <w:gridCol w:w="842"/>
        <w:gridCol w:w="842"/>
        <w:gridCol w:w="842"/>
        <w:gridCol w:w="842"/>
        <w:gridCol w:w="842"/>
        <w:gridCol w:w="842"/>
        <w:gridCol w:w="842"/>
      </w:tblGrid>
      <w:tr>
        <w:tc>
          <w:tcPr>
            <w:tcW w:type="dxa" w:w="11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Необходимо поставить во </w:t>
            </w:r>
            <w:r>
              <w:rPr>
                <w:rFonts w:ascii="Arial" w:cs="Arial" w:eastAsia="Arial" w:hAnsi="Arial"/>
                <w:b/>
                <w:bCs/>
                <w:sz w:val="24"/>
                <w:szCs w:val="24"/>
              </w:rPr>
              <w:t xml:space="preserve">I</w:t>
            </w:r>
            <w:r>
              <w:rPr>
                <w:rFonts w:ascii="Arial" w:cs="Arial" w:eastAsia="Arial" w:hAnsi="Arial"/>
                <w:b/>
                <w:bCs/>
                <w:sz w:val="24"/>
                <w:szCs w:val="24"/>
              </w:rPr>
              <w:t xml:space="preserve">I-IV кв. 2015 г. и </w:t>
            </w:r>
            <w:r>
              <w:rPr>
                <w:rFonts w:ascii="Arial" w:cs="Arial" w:eastAsia="Arial" w:hAnsi="Arial"/>
                <w:b/>
                <w:bCs/>
                <w:sz w:val="24"/>
                <w:szCs w:val="24"/>
              </w:rPr>
              <w:t xml:space="preserve">I</w:t>
            </w:r>
            <w:r>
              <w:rPr>
                <w:rFonts w:ascii="Arial" w:cs="Arial" w:eastAsia="Arial" w:hAnsi="Arial"/>
                <w:b/>
                <w:bCs/>
                <w:sz w:val="24"/>
                <w:szCs w:val="24"/>
              </w:rPr>
              <w:t xml:space="preserve"> кв. 2016 г.</w:t>
            </w:r>
          </w:p>
        </w:tc>
        <w:tc>
          <w:tcPr>
            <w:tcW w:type="dxa" w:w="7578"/>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 2015 года</w:t>
            </w: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 2015 года</w:t>
            </w:r>
          </w:p>
        </w:tc>
        <w:tc>
          <w:tcPr>
            <w:tcW w:type="dxa" w:w="8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сентябрь</w:t>
            </w:r>
          </w:p>
        </w:tc>
        <w:tc>
          <w:tcPr>
            <w:tcW w:type="dxa" w:w="252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r>
              <w:rPr>
                <w:rFonts w:ascii="Arial" w:cs="Arial" w:eastAsia="Arial" w:hAnsi="Arial"/>
                <w:b/>
                <w:bCs/>
                <w:sz w:val="24"/>
                <w:szCs w:val="24"/>
              </w:rPr>
              <w:t xml:space="preserve"> квартал 2015 года</w:t>
            </w:r>
          </w:p>
        </w:tc>
        <w:tc>
          <w:tcPr>
            <w:tcW w:type="dxa" w:w="252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квартал 2016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дан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 том числе: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севере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юге</w:t>
            </w:r>
          </w:p>
        </w:tc>
        <w:tc>
          <w:tcPr>
            <w:tcW w:type="dxa" w:w="1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ГП "Кыргызжилкоммунсоюз" в осенне-зимний период 2015/2016 года, в том числе для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6"/>
        <w:gridCol w:w="1250"/>
        <w:gridCol w:w="855"/>
        <w:gridCol w:w="855"/>
        <w:gridCol w:w="855"/>
        <w:gridCol w:w="855"/>
        <w:gridCol w:w="855"/>
        <w:gridCol w:w="855"/>
        <w:gridCol w:w="855"/>
        <w:gridCol w:w="855"/>
        <w:gridCol w:w="855"/>
        <w:gridCol w:w="1"/>
      </w:tblGrid>
      <w:tr>
        <w:tc>
          <w:tcPr>
            <w:tcW w:type="dxa" w:w="12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50"/>
            <w:vMerge w:val="restart"/>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План поставки во II-IV кв. 2015 года и I кв. 2016 года</w:t>
            </w:r>
          </w:p>
        </w:tc>
        <w:tc>
          <w:tcPr>
            <w:tcW w:type="dxa" w:w="7695"/>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квартал 2015 года</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квартал 2015 года</w:t>
            </w:r>
          </w:p>
        </w:tc>
        <w:tc>
          <w:tcPr>
            <w:tcW w:type="dxa" w:w="8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сентябрь</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 2015 года</w:t>
            </w:r>
          </w:p>
        </w:tc>
        <w:tc>
          <w:tcPr>
            <w:tcW w:type="dxa" w:w="256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 2016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Октябрь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Ноябрь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Декабрь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Январь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Февраль</w:t>
            </w:r>
          </w:p>
        </w:tc>
        <w:tc>
          <w:tcPr>
            <w:tcW w:type="dxa" w:w="8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33,2</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 севере,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для населения, всего:</w:t>
            </w:r>
          </w:p>
          <w:p>
            <w:pPr>
              <w:jc w:val="left"/>
            </w:pPr>
            <w:r>
              <w:rPr>
                <w:rFonts w:ascii="Arial" w:cs="Arial" w:eastAsia="Arial" w:hAnsi="Arial"/>
                <w:sz w:val="24"/>
                <w:szCs w:val="24"/>
              </w:rPr>
              <w:t xml:space="preserve">в том числе: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на севере,</w:t>
            </w:r>
          </w:p>
        </w:tc>
        <w:tc>
          <w:tcPr>
            <w:tcW w:type="dxa" w:w="12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85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на юге</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20</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по подготовке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5222"/>
        <w:gridCol w:w="731"/>
        <w:gridCol w:w="1486"/>
        <w:gridCol w:w="596"/>
        <w:gridCol w:w="596"/>
        <w:gridCol w:w="596"/>
        <w:gridCol w:w="596"/>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52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мероприятий, наименование вида работ</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r>
              <w:rPr>
                <w:rFonts w:ascii="Arial" w:cs="Arial" w:eastAsia="Arial" w:hAnsi="Arial"/>
                <w:b/>
                <w:bCs/>
                <w:sz w:val="24"/>
                <w:szCs w:val="24"/>
              </w:rPr>
              <w:t xml:space="preserve">.</w:t>
            </w:r>
          </w:p>
        </w:tc>
        <w:tc>
          <w:tcPr>
            <w:tcW w:type="dxa" w:w="14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работ</w:t>
            </w:r>
          </w:p>
        </w:tc>
        <w:tc>
          <w:tcPr>
            <w:tcW w:type="dxa" w:w="23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кв.</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Бишкекгаз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p>
            <w:pPr>
              <w:jc w:val="center"/>
            </w:pPr>
            <w:r>
              <w:rPr>
                <w:rFonts w:ascii="Arial" w:cs="Arial" w:eastAsia="Arial" w:hAnsi="Arial"/>
                <w:sz w:val="24"/>
                <w:szCs w:val="24"/>
              </w:rPr>
              <w:t xml:space="preserve">37291,0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p>
            <w:pPr>
              <w:jc w:val="center"/>
            </w:pPr>
            <w:r>
              <w:rPr>
                <w:rFonts w:ascii="Arial" w:cs="Arial" w:eastAsia="Arial" w:hAnsi="Arial"/>
                <w:sz w:val="24"/>
                <w:szCs w:val="24"/>
              </w:rPr>
              <w:t xml:space="preserve">18645,5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p>
            <w:pPr>
              <w:jc w:val="center"/>
            </w:pPr>
            <w:r>
              <w:rPr>
                <w:rFonts w:ascii="Arial" w:cs="Arial" w:eastAsia="Arial" w:hAnsi="Arial"/>
                <w:sz w:val="24"/>
                <w:szCs w:val="24"/>
              </w:rPr>
              <w:t xml:space="preserve">18645,5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p>
            <w:pPr>
              <w:jc w:val="center"/>
            </w:pPr>
            <w:r>
              <w:rPr>
                <w:rFonts w:ascii="Arial" w:cs="Arial" w:eastAsia="Arial" w:hAnsi="Arial"/>
                <w:sz w:val="24"/>
                <w:szCs w:val="24"/>
              </w:rPr>
              <w:t xml:space="preserve">784,0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p>
            <w:pPr>
              <w:jc w:val="center"/>
            </w:pPr>
            <w:r>
              <w:rPr>
                <w:rFonts w:ascii="Arial" w:cs="Arial" w:eastAsia="Arial" w:hAnsi="Arial"/>
                <w:sz w:val="24"/>
                <w:szCs w:val="24"/>
              </w:rPr>
              <w:t xml:space="preserve">323,4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1650</w:t>
            </w:r>
          </w:p>
          <w:p>
            <w:pPr>
              <w:jc w:val="center"/>
            </w:pPr>
            <w:r>
              <w:rPr>
                <w:rFonts w:ascii="Arial" w:cs="Arial" w:eastAsia="Arial" w:hAnsi="Arial"/>
                <w:sz w:val="24"/>
                <w:szCs w:val="24"/>
              </w:rPr>
              <w:t xml:space="preserve">323,4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Чуйгаз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w:t>
            </w:r>
          </w:p>
          <w:p>
            <w:pPr>
              <w:jc w:val="center"/>
            </w:pPr>
            <w:r>
              <w:rPr>
                <w:rFonts w:ascii="Arial" w:cs="Arial" w:eastAsia="Arial" w:hAnsi="Arial"/>
                <w:sz w:val="24"/>
                <w:szCs w:val="24"/>
              </w:rPr>
              <w:t xml:space="preserve">455,9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p>
            <w:pPr>
              <w:jc w:val="center"/>
            </w:pPr>
            <w:r>
              <w:rPr>
                <w:rFonts w:ascii="Arial" w:cs="Arial" w:eastAsia="Arial" w:hAnsi="Arial"/>
                <w:sz w:val="24"/>
                <w:szCs w:val="24"/>
              </w:rPr>
              <w:t xml:space="preserve">101,5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w:t>
            </w:r>
          </w:p>
          <w:p>
            <w:pPr>
              <w:jc w:val="center"/>
            </w:pPr>
            <w:r>
              <w:rPr>
                <w:rFonts w:ascii="Arial" w:cs="Arial" w:eastAsia="Arial" w:hAnsi="Arial"/>
                <w:sz w:val="24"/>
                <w:szCs w:val="24"/>
              </w:rPr>
              <w:t xml:space="preserve">118,7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w:t>
            </w:r>
          </w:p>
          <w:p>
            <w:pPr>
              <w:jc w:val="center"/>
            </w:pPr>
            <w:r>
              <w:rPr>
                <w:rFonts w:ascii="Arial" w:cs="Arial" w:eastAsia="Arial" w:hAnsi="Arial"/>
                <w:sz w:val="24"/>
                <w:szCs w:val="24"/>
              </w:rPr>
              <w:t xml:space="preserve">134,1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w:t>
            </w:r>
          </w:p>
          <w:p>
            <w:pPr>
              <w:jc w:val="center"/>
            </w:pPr>
            <w:r>
              <w:rPr>
                <w:rFonts w:ascii="Arial" w:cs="Arial" w:eastAsia="Arial" w:hAnsi="Arial"/>
                <w:sz w:val="24"/>
                <w:szCs w:val="24"/>
              </w:rPr>
              <w:t xml:space="preserve">101,5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p>
            <w:pPr>
              <w:jc w:val="center"/>
            </w:pPr>
            <w:r>
              <w:rPr>
                <w:rFonts w:ascii="Arial" w:cs="Arial" w:eastAsia="Arial" w:hAnsi="Arial"/>
                <w:sz w:val="24"/>
                <w:szCs w:val="24"/>
              </w:rPr>
              <w:t xml:space="preserve">2866,7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1433,35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p>
            <w:pPr>
              <w:jc w:val="center"/>
            </w:pPr>
            <w:r>
              <w:rPr>
                <w:rFonts w:ascii="Arial" w:cs="Arial" w:eastAsia="Arial" w:hAnsi="Arial"/>
                <w:sz w:val="24"/>
                <w:szCs w:val="24"/>
              </w:rPr>
              <w:t xml:space="preserve">1433,35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Ошгаз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4900,0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p>
            <w:pPr>
              <w:jc w:val="center"/>
            </w:pPr>
            <w:r>
              <w:rPr>
                <w:rFonts w:ascii="Arial" w:cs="Arial" w:eastAsia="Arial" w:hAnsi="Arial"/>
                <w:sz w:val="24"/>
                <w:szCs w:val="24"/>
              </w:rPr>
              <w:t xml:space="preserve">2450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p>
            <w:pPr>
              <w:jc w:val="center"/>
            </w:pPr>
            <w:r>
              <w:rPr>
                <w:rFonts w:ascii="Arial" w:cs="Arial" w:eastAsia="Arial" w:hAnsi="Arial"/>
                <w:sz w:val="24"/>
                <w:szCs w:val="24"/>
              </w:rPr>
              <w:t xml:space="preserve">2450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объектов газификации</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1045,9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522,95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p>
            <w:pPr>
              <w:jc w:val="center"/>
            </w:pPr>
            <w:r>
              <w:rPr>
                <w:rFonts w:ascii="Arial" w:cs="Arial" w:eastAsia="Arial" w:hAnsi="Arial"/>
                <w:sz w:val="24"/>
                <w:szCs w:val="24"/>
              </w:rPr>
              <w:t xml:space="preserve">522,95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Жалалабатгаз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490,0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p>
            <w:pPr>
              <w:jc w:val="center"/>
            </w:pPr>
            <w:r>
              <w:rPr>
                <w:rFonts w:ascii="Arial" w:cs="Arial" w:eastAsia="Arial" w:hAnsi="Arial"/>
                <w:sz w:val="24"/>
                <w:szCs w:val="24"/>
              </w:rPr>
              <w:t xml:space="preserve">107,8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p>
            <w:pPr>
              <w:jc w:val="center"/>
            </w:pPr>
            <w:r>
              <w:rPr>
                <w:rFonts w:ascii="Arial" w:cs="Arial" w:eastAsia="Arial" w:hAnsi="Arial"/>
                <w:sz w:val="24"/>
                <w:szCs w:val="24"/>
              </w:rPr>
              <w:t xml:space="preserve">141,1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p>
            <w:pPr>
              <w:jc w:val="center"/>
            </w:pPr>
            <w:r>
              <w:rPr>
                <w:rFonts w:ascii="Arial" w:cs="Arial" w:eastAsia="Arial" w:hAnsi="Arial"/>
                <w:sz w:val="24"/>
                <w:szCs w:val="24"/>
              </w:rPr>
              <w:t xml:space="preserve">143,0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p>
            <w:pPr>
              <w:jc w:val="center"/>
            </w:pPr>
            <w:r>
              <w:rPr>
                <w:rFonts w:ascii="Arial" w:cs="Arial" w:eastAsia="Arial" w:hAnsi="Arial"/>
                <w:sz w:val="24"/>
                <w:szCs w:val="24"/>
              </w:rPr>
              <w:t xml:space="preserve">98,0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Баткенгаз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p>
            <w:pPr>
              <w:jc w:val="center"/>
            </w:pPr>
            <w:r>
              <w:rPr>
                <w:rFonts w:ascii="Arial" w:cs="Arial" w:eastAsia="Arial" w:hAnsi="Arial"/>
                <w:sz w:val="24"/>
                <w:szCs w:val="24"/>
              </w:rPr>
              <w:t xml:space="preserve">137,2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58,8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p>
            <w:pPr>
              <w:jc w:val="center"/>
            </w:pPr>
            <w:r>
              <w:rPr>
                <w:rFonts w:ascii="Arial" w:cs="Arial" w:eastAsia="Arial" w:hAnsi="Arial"/>
                <w:sz w:val="24"/>
                <w:szCs w:val="24"/>
              </w:rPr>
              <w:t xml:space="preserve">58,8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p>
            <w:pPr>
              <w:jc w:val="center"/>
            </w:pPr>
            <w:r>
              <w:rPr>
                <w:rFonts w:ascii="Arial" w:cs="Arial" w:eastAsia="Arial" w:hAnsi="Arial"/>
                <w:sz w:val="24"/>
                <w:szCs w:val="24"/>
              </w:rPr>
              <w:t xml:space="preserve">19,6</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Югтрансгаз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p>
            <w:pPr>
              <w:jc w:val="center"/>
            </w:pPr>
            <w:r>
              <w:rPr>
                <w:rFonts w:ascii="Arial" w:cs="Arial" w:eastAsia="Arial" w:hAnsi="Arial"/>
                <w:sz w:val="24"/>
                <w:szCs w:val="24"/>
              </w:rPr>
              <w:t xml:space="preserve">7950,0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p>
            <w:pPr>
              <w:jc w:val="center"/>
            </w:pPr>
            <w:r>
              <w:rPr>
                <w:rFonts w:ascii="Arial" w:cs="Arial" w:eastAsia="Arial" w:hAnsi="Arial"/>
                <w:sz w:val="24"/>
                <w:szCs w:val="24"/>
              </w:rPr>
              <w:t xml:space="preserve">7950,0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 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Севертрансгаз</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участка магистрального газопровода</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ГРС, 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ОсОО "Газпром Кыргызстан",</w:t>
            </w:r>
          </w:p>
          <w:p>
            <w:pPr>
              <w:jc w:val="left"/>
            </w:pPr>
            <w:r>
              <w:rPr>
                <w:rFonts w:ascii="Arial" w:cs="Arial" w:eastAsia="Arial" w:hAnsi="Arial"/>
                <w:sz w:val="24"/>
                <w:szCs w:val="24"/>
              </w:rPr>
              <w:t xml:space="preserve">в том числе:</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120280,7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39996,4</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15950</w:t>
            </w:r>
          </w:p>
          <w:p>
            <w:pPr>
              <w:jc w:val="center"/>
            </w:pPr>
            <w:r>
              <w:rPr>
                <w:rFonts w:ascii="Arial" w:cs="Arial" w:eastAsia="Arial" w:hAnsi="Arial"/>
                <w:sz w:val="24"/>
                <w:szCs w:val="24"/>
              </w:rPr>
              <w:t xml:space="preserve">116453,6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4425</w:t>
            </w:r>
          </w:p>
          <w:p>
            <w:pPr>
              <w:jc w:val="center"/>
            </w:pPr>
            <w:r>
              <w:rPr>
                <w:rFonts w:ascii="Arial" w:cs="Arial" w:eastAsia="Arial" w:hAnsi="Arial"/>
                <w:sz w:val="24"/>
                <w:szCs w:val="24"/>
              </w:rPr>
              <w:t xml:space="preserve">23051,8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7225</w:t>
            </w:r>
          </w:p>
          <w:p>
            <w:pPr>
              <w:jc w:val="center"/>
            </w:pPr>
            <w:r>
              <w:rPr>
                <w:rFonts w:ascii="Arial" w:cs="Arial" w:eastAsia="Arial" w:hAnsi="Arial"/>
                <w:sz w:val="24"/>
                <w:szCs w:val="24"/>
              </w:rPr>
              <w:t xml:space="preserve">54251,8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p>
            <w:pPr>
              <w:jc w:val="center"/>
            </w:pPr>
            <w:r>
              <w:rPr>
                <w:rFonts w:ascii="Arial" w:cs="Arial" w:eastAsia="Arial" w:hAnsi="Arial"/>
                <w:sz w:val="24"/>
                <w:szCs w:val="24"/>
              </w:rPr>
              <w:t xml:space="preserve">39150,0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p>
            <w:pPr>
              <w:jc w:val="center"/>
            </w:pPr>
            <w:r>
              <w:rPr>
                <w:rFonts w:ascii="Arial" w:cs="Arial" w:eastAsia="Arial" w:hAnsi="Arial"/>
                <w:sz w:val="24"/>
                <w:szCs w:val="24"/>
              </w:rPr>
              <w:t xml:space="preserve">по факту</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p>
            <w:pPr>
              <w:jc w:val="left"/>
            </w:pPr>
            <w:r>
              <w:rPr>
                <w:rFonts w:ascii="Arial" w:cs="Arial" w:eastAsia="Arial" w:hAnsi="Arial"/>
                <w:sz w:val="24"/>
                <w:szCs w:val="24"/>
              </w:rPr>
              <w:t xml:space="preserve">тыс. сом.</w:t>
            </w:r>
          </w:p>
        </w:tc>
        <w:tc>
          <w:tcPr>
            <w:tcW w:type="dxa" w:w="14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19526</w:t>
            </w:r>
          </w:p>
          <w:p>
            <w:pPr>
              <w:jc w:val="center"/>
            </w:pPr>
            <w:r>
              <w:rPr>
                <w:rFonts w:ascii="Arial" w:cs="Arial" w:eastAsia="Arial" w:hAnsi="Arial"/>
                <w:sz w:val="24"/>
                <w:szCs w:val="24"/>
              </w:rPr>
              <w:t xml:space="preserve">3827,1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p>
            <w:pPr>
              <w:jc w:val="center"/>
            </w:pPr>
            <w:r>
              <w:rPr>
                <w:rFonts w:ascii="Arial" w:cs="Arial" w:eastAsia="Arial" w:hAnsi="Arial"/>
                <w:sz w:val="24"/>
                <w:szCs w:val="24"/>
              </w:rPr>
              <w:t xml:space="preserve">209,3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7026</w:t>
            </w:r>
          </w:p>
          <w:p>
            <w:pPr>
              <w:jc w:val="center"/>
            </w:pPr>
            <w:r>
              <w:rPr>
                <w:rFonts w:ascii="Arial" w:cs="Arial" w:eastAsia="Arial" w:hAnsi="Arial"/>
                <w:sz w:val="24"/>
                <w:szCs w:val="24"/>
              </w:rPr>
              <w:t xml:space="preserve">1377,1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7114</w:t>
            </w:r>
          </w:p>
          <w:p>
            <w:pPr>
              <w:jc w:val="center"/>
            </w:pPr>
            <w:r>
              <w:rPr>
                <w:rFonts w:ascii="Arial" w:cs="Arial" w:eastAsia="Arial" w:hAnsi="Arial"/>
                <w:sz w:val="24"/>
                <w:szCs w:val="24"/>
              </w:rPr>
              <w:t xml:space="preserve">1394,3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w:t>
            </w:r>
          </w:p>
          <w:p>
            <w:pPr>
              <w:jc w:val="center"/>
            </w:pPr>
            <w:r>
              <w:rPr>
                <w:rFonts w:ascii="Arial" w:cs="Arial" w:eastAsia="Arial" w:hAnsi="Arial"/>
                <w:sz w:val="24"/>
                <w:szCs w:val="24"/>
              </w:rPr>
              <w:t xml:space="preserve">846,4</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ГРП - газорегуляторный пункт;</w:t>
      </w:r>
    </w:p>
    <w:p>
      <w:pPr>
        <w:spacing w:after="60"/>
        <w:ind w:firstLine="567"/>
        <w:jc w:val="both"/>
      </w:pPr>
      <w:r>
        <w:rPr>
          <w:rFonts w:ascii="Arial" w:cs="Arial" w:eastAsia="Arial" w:hAnsi="Arial"/>
          <w:sz w:val="24"/>
          <w:szCs w:val="24"/>
        </w:rPr>
        <w:t xml:space="preserve">ШГРП - шкафной газорегуляторный пункт;</w:t>
      </w:r>
    </w:p>
    <w:p>
      <w:pPr>
        <w:spacing w:after="60"/>
        <w:ind w:firstLine="567"/>
        <w:jc w:val="both"/>
      </w:pPr>
      <w:r>
        <w:rPr>
          <w:rFonts w:ascii="Arial" w:cs="Arial" w:eastAsia="Arial" w:hAnsi="Arial"/>
          <w:sz w:val="24"/>
          <w:szCs w:val="24"/>
        </w:rPr>
        <w:t xml:space="preserve">ГРС - газорегуляторная станция;</w:t>
      </w:r>
    </w:p>
    <w:p>
      <w:pPr>
        <w:spacing w:after="60"/>
        <w:ind w:firstLine="567"/>
        <w:jc w:val="both"/>
      </w:pPr>
      <w:r>
        <w:rPr>
          <w:rFonts w:ascii="Arial" w:cs="Arial" w:eastAsia="Arial" w:hAnsi="Arial"/>
          <w:sz w:val="24"/>
          <w:szCs w:val="24"/>
        </w:rPr>
        <w:t xml:space="preserve">АГРС - 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21</w:t>
      </w:r>
    </w:p>
    <w:p>
      <w:pPr>
        <w:spacing w:after="400" w:before="400"/>
        <w:jc w:val="center"/>
      </w:pPr>
      <w:r>
        <w:rPr>
          <w:rFonts w:ascii="Arial" w:cs="Arial" w:eastAsia="Arial" w:hAnsi="Arial"/>
          <w:b/>
          <w:bCs/>
          <w:sz w:val="32"/>
          <w:szCs w:val="32"/>
        </w:rPr>
        <w:t xml:space="preserve">ЗАДАНИЕ
 ГП "Кыргызжилкоммунсоюз" и КП "Бишкектеплоэнерго" и Ошскому МП "Теплоснабжение" по подготовке отопительных котельных к осенне-зимнему периоду 2015/2016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5"/>
        <w:gridCol w:w="1445"/>
        <w:gridCol w:w="1317"/>
        <w:gridCol w:w="1317"/>
        <w:gridCol w:w="1317"/>
        <w:gridCol w:w="1317"/>
      </w:tblGrid>
      <w:tr>
        <w:tc>
          <w:tcPr>
            <w:tcW w:type="dxa" w:w="34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области</w:t>
            </w:r>
          </w:p>
        </w:tc>
        <w:tc>
          <w:tcPr>
            <w:tcW w:type="dxa" w:w="14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котельных</w:t>
            </w:r>
          </w:p>
        </w:tc>
        <w:tc>
          <w:tcPr>
            <w:tcW w:type="dxa" w:w="526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газе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мазуте, солярке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электроэнергии</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 мэрии города Бишкек</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w:t>
            </w:r>
          </w:p>
          <w:p>
            <w:pPr>
              <w:jc w:val="left"/>
            </w:pPr>
            <w:r>
              <w:rPr>
                <w:rFonts w:ascii="Arial" w:cs="Arial" w:eastAsia="Arial" w:hAnsi="Arial"/>
                <w:sz w:val="24"/>
                <w:szCs w:val="24"/>
              </w:rPr>
              <w:t xml:space="preserve">в том числе: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Ошское МП "Теплоснабжение" мэрии города Ош</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котельная в резерве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котельная в резерве</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4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lshm2q0nwd9-cdec5v6o">
      <w:r>
        <w:rPr>
          <w:rFonts w:ascii="Arial" w:cs="Arial" w:eastAsia="Arial" w:hAnsi="Arial"/>
          <w:color w:val="132D3F"/>
          <w:sz w:val="16"/>
          <w:szCs w:val="16"/>
          <w:u w:val="single"/>
        </w:rPr>
        <w:t xml:space="preserve">dalil.kg/document/97610</w:t>
      </w:r>
    </w:hyperlink>
  </w:p>
  <w:p>
    <w:pPr>
      <w:spacing w:after="0" w:before="40"/>
      <w:jc w:val="center"/>
    </w:pPr>
    <w:hyperlink w:history="1" r:id="rIdt417xoxw9kobowy6ruq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fnirjctgh2ucx1wwxo-" Type="http://schemas.openxmlformats.org/officeDocument/2006/relationships/hyperlink" Target="https://dalil.kg/document/98601" TargetMode="External"/><Relationship Id="rIdawvaoqoiotny-cupyktoa" Type="http://schemas.openxmlformats.org/officeDocument/2006/relationships/hyperlink" Target="https://dalil.kg/document/97842" TargetMode="External"/><Relationship Id="rIda92ad4hn3-8lve1kz5c6b" Type="http://schemas.openxmlformats.org/officeDocument/2006/relationships/hyperlink" Target="https://dalil.kg/document/98096" TargetMode="External"/><Relationship Id="rIdcdojq7z3cl1b8kmskzd9s" Type="http://schemas.openxmlformats.org/officeDocument/2006/relationships/hyperlink" Target="https://dalil.kg/document/98391" TargetMode="External"/><Relationship Id="rIdomnffxlh1fcf0ugwshw7x" Type="http://schemas.openxmlformats.org/officeDocument/2006/relationships/hyperlink" Target="https://dalil.kg/document/203685" TargetMode="External"/><Relationship Id="rId8bujyry02gbjelmi-8-w1" Type="http://schemas.openxmlformats.org/officeDocument/2006/relationships/hyperlink" Target="https://dalil.kg/document/97610#p1" TargetMode="External"/><Relationship Id="rId-gkc8mtempdgnibfe9rq7" Type="http://schemas.openxmlformats.org/officeDocument/2006/relationships/hyperlink" Target="https://dalil.kg/document/97610#p1" TargetMode="External"/><Relationship Id="rIdxv70r8fxbibldej-y5vfd" Type="http://schemas.openxmlformats.org/officeDocument/2006/relationships/hyperlink" Target="https://dalil.kg/document/97610#p21" TargetMode="External"/><Relationship Id="rIds74d2spnbvcvd_caxzjpb" Type="http://schemas.openxmlformats.org/officeDocument/2006/relationships/hyperlink" Target="https://dalil.kg/document/97842" TargetMode="External"/><Relationship Id="rIdmh1bzuuswhah_97cogm0d" Type="http://schemas.openxmlformats.org/officeDocument/2006/relationships/hyperlink" Target="https://dalil.kg/document/97842" TargetMode="External"/><Relationship Id="rIdkkf9zulbgi_pphss5vcg5" Type="http://schemas.openxmlformats.org/officeDocument/2006/relationships/hyperlink" Target="https://dalil.kg/document/97842" TargetMode="External"/><Relationship Id="rIdjcbcr0aia2tfbe_yijswz" Type="http://schemas.openxmlformats.org/officeDocument/2006/relationships/hyperlink" Target="https://dalil.kg/document/205397" TargetMode="External"/><Relationship Id="rIdkjd-upk3tylt2ua7dqzhz" Type="http://schemas.openxmlformats.org/officeDocument/2006/relationships/hyperlink" Target="https://dalil.kg/document/97842" TargetMode="External"/><Relationship Id="rIdaljs6pobxiigkxue42_mx" Type="http://schemas.openxmlformats.org/officeDocument/2006/relationships/hyperlink" Target="https://dalil.kg/document/97579" TargetMode="External"/><Relationship Id="rIddz8vlei6pc9mnwt3mdmgp" Type="http://schemas.openxmlformats.org/officeDocument/2006/relationships/hyperlink" Target="https://dalil.kg/document/97610#p1" TargetMode="External"/><Relationship Id="rIdkqnzh02lxi1xpfsbwh5lk" Type="http://schemas.openxmlformats.org/officeDocument/2006/relationships/hyperlink" Target="https://dalil.kg/document/97610#p21" TargetMode="External"/><Relationship Id="rIdoqskh0qqwwnqrlbgiqbx6" Type="http://schemas.openxmlformats.org/officeDocument/2006/relationships/hyperlink" Target="https://dalil.kg/document/97610#p1" TargetMode="External"/><Relationship Id="rIdyq7sxmf0qkkfcdhqgljx9" Type="http://schemas.openxmlformats.org/officeDocument/2006/relationships/hyperlink" Target="https://dalil.kg/document/97610#p21" TargetMode="External"/><Relationship Id="rIdi99p3samngvcuv0kkqhud" Type="http://schemas.openxmlformats.org/officeDocument/2006/relationships/hyperlink" Target="https://dalil.kg/document/98391" TargetMode="External"/><Relationship Id="rId5h3yyxt2dpbpohk7ga1_b" Type="http://schemas.openxmlformats.org/officeDocument/2006/relationships/hyperlink" Target="https://dalil.kg/document/97610#p2" TargetMode="External"/><Relationship Id="rId92wooaydgifnonm8xea8c" Type="http://schemas.openxmlformats.org/officeDocument/2006/relationships/hyperlink" Target="https://dalil.kg/document/97610#p11" TargetMode="External"/><Relationship Id="rIdrfqhsubp_64gy0rytvz__" Type="http://schemas.openxmlformats.org/officeDocument/2006/relationships/hyperlink" Target="https://dalil.kg/document/96479" TargetMode="External"/><Relationship Id="rIdwiajuckprxaxjtapthyvr" Type="http://schemas.openxmlformats.org/officeDocument/2006/relationships/hyperlink" Target="https://dalil.kg/document/96971" TargetMode="External"/><Relationship Id="rId9ip6ui9ubi6dz8k262rci" Type="http://schemas.openxmlformats.org/officeDocument/2006/relationships/hyperlink" Target="https://dalil.kg/document/96479" TargetMode="External"/><Relationship Id="rIdbk6esbdspjqa8sgfa8lej" Type="http://schemas.openxmlformats.org/officeDocument/2006/relationships/hyperlink" Target="https://dalil.kg/document/97154" TargetMode="External"/><Relationship Id="rIdhlvzdmn5lob_bxxc-wkwe" Type="http://schemas.openxmlformats.org/officeDocument/2006/relationships/hyperlink" Target="https://dalil.kg/document/96479" TargetMode="External"/><Relationship Id="rIdtve8zuq-u5yp7zxgmiq_c" Type="http://schemas.openxmlformats.org/officeDocument/2006/relationships/hyperlink" Target="https://dalil.kg/document/98096" TargetMode="External"/><Relationship Id="rIdmduwaqzjhl7la7_sxrcd8" Type="http://schemas.openxmlformats.org/officeDocument/2006/relationships/hyperlink" Target="https://dalil.kg/document/9809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lshm2q0nwd9-cdec5v6o" Type="http://schemas.openxmlformats.org/officeDocument/2006/relationships/hyperlink" Target="https://dalil.kg/document/97610" TargetMode="External"/><Relationship Id="rIdt417xoxw9kobowy6ruq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2026-09-24T04:33:29.451Z</dcterms:created>
  <dcterms:modified xsi:type="dcterms:W3CDTF">2026-09-24T04:33:29.451Z</dcterms:modified>
</cp:coreProperties>
</file>

<file path=docProps/custom.xml><?xml version="1.0" encoding="utf-8"?>
<Properties xmlns="http://schemas.openxmlformats.org/officeDocument/2006/custom-properties" xmlns:vt="http://schemas.openxmlformats.org/officeDocument/2006/docPropsVTypes"/>
</file>