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2015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Методики расчета ежегодной платы за использование номиналов и (или) полос радиочастот радиочастотного спектра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illfq9ulojb7puazedn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статьями 10 и 17 </w:t>
      </w:r>
      <w:hyperlink w:history="1" r:id="rIdcadigidbt459u87gl27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ycdyjgxtgcatlnj9ke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Методику</w:t>
        </w:r>
      </w:hyperlink>
      <w:r>
        <w:rPr>
          <w:rFonts w:ascii="Arial" w:cs="Arial" w:eastAsia="Arial" w:hAnsi="Arial"/>
          <w:sz w:val="24"/>
          <w:szCs w:val="24"/>
        </w:rPr>
        <w:t xml:space="preserve"> расчета ежегодной платы за использование номиналов и (или) полос радиочастот радиочастотного спектра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lfq9ulojb7puazednh6" Type="http://schemas.openxmlformats.org/officeDocument/2006/relationships/hyperlink" Target="http://kodeks.duckdns.org/document/42" TargetMode="External"/><Relationship Id="rIdcadigidbt459u87gl2780" Type="http://schemas.openxmlformats.org/officeDocument/2006/relationships/hyperlink" Target="http://kodeks.duckdns.org/document/203685" TargetMode="External"/><Relationship Id="rIdkycdyjgxtgcatlnj9kecm" Type="http://schemas.openxmlformats.org/officeDocument/2006/relationships/hyperlink" Target="http://kodeks.duckdns.org/document/977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2026-09-23T02:32:09.737Z</dcterms:created>
  <dcterms:modified xsi:type="dcterms:W3CDTF">2026-09-23T02:32:09.737Z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