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30 сентября 2020 года № 06-р</w:t>
      </w:r>
    </w:p>
    <w:p>
      <w:pPr>
        <w:spacing w:after="120"/>
        <w:jc w:val="center"/>
      </w:pPr>
      <w:r>
        <w:rPr>
          <w:rFonts w:ascii="Arial" w:cs="Arial" w:eastAsia="Arial" w:hAnsi="Arial"/>
          <w:sz w:val="24"/>
          <w:szCs w:val="24"/>
        </w:rPr>
        <w:t xml:space="preserve">по делу о проверке конституционности пункта 4 части 3 </w:t>
      </w:r>
      <w:hyperlink w:history="1" r:id="rIdoqbxctmvd_va94m2ghsk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 абзаца четвертого части 2 </w:t>
      </w:r>
      <w:hyperlink w:history="1" r:id="rIdomio1_tn7ej5m5prihyib">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«О свободе вероисповедания и религиозных организациях в Кыргызской Республике» в связи с обращением Аскар кызы Жанары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стороны-ответчика – Арзиева Мирбека Исамаматовича, Дуйшенбаева Шамиля Суранчыевича,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Токторова Элдара Майрамбековича, представителя Правительства Кыргызской Республики по доверенности, Ызаковой Сайры Темирбековны, представителя Министерства юстиции Кыргызской Республики по доверенности, Ныязбаева Каныбека Ныязбаевича, представителя</w:t>
      </w:r>
      <w:r>
        <w:rPr>
          <w:rFonts w:ascii="Arial" w:cs="Arial" w:eastAsia="Arial" w:hAnsi="Arial"/>
          <w:sz w:val="24"/>
          <w:szCs w:val="24"/>
        </w:rPr>
        <w:t xml:space="preserve"> Государственной комиссии по делам религий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ggnvtjdnirfaoer7lbtj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kcq_mq3csnnndmow1jry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4 части 3 статьи 12 и абзаца четвертого части 2 статьи 13 </w:t>
      </w:r>
      <w:hyperlink w:history="1" r:id="rIddxlzjoj2env0fl9kwhs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Поводом к рассмотрению данного дела явилось ходатайство Аскар кызы Ж.</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пункт 4 части 3 статьи 12 и абзац четвертый части 2 статьи 13 </w:t>
      </w:r>
      <w:hyperlink w:history="1" r:id="rIdam7yngkt1mdc89lct3kx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Конституционную палату Верховного суда Кыргызской Республики 5 марта 2019 года поступило ходатайство Аскар кызы Ж. о проверке соответствия пункта 4 части 3 статьи 12 и абзаца четвертого части 2 статьи 13 </w:t>
      </w:r>
      <w:hyperlink w:history="1" r:id="rIdwznlkrldybxez5a7ixd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части 1 статьи 19, пункту 7 части 4, пунктам 4, 5, 8 части 5 статьи 20, части 1 статьи 25, частям 1, 2, 3 статьи 32, статье 35, частям 1, 4 статьи 45 </w:t>
      </w:r>
      <w:hyperlink w:history="1" r:id="rIdklcy0x0hev9uzr6kofur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w:t>
      </w: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Как следует из ходатайства, субъект обращения исповедует христианское полное евангельское вероучение. Религиозная организация, в которой состоит Аскар кызы Ж., решила пригласить в Кыргызстан иностранных миссионеров, имеющих высшее образование в этой сфере, а также учредить религиозное учебное заведение с целью предоставления духовного образования прихожанам религиозной общины и осуществления религиозной деятельности без искажения вероучения.</w:t>
      </w:r>
    </w:p>
    <w:p>
      <w:pPr>
        <w:spacing w:after="120"/>
        <w:jc w:val="both"/>
      </w:pPr>
      <w:r>
        <w:rPr>
          <w:rFonts w:ascii="Arial" w:cs="Arial" w:eastAsia="Arial" w:hAnsi="Arial"/>
          <w:sz w:val="24"/>
          <w:szCs w:val="24"/>
        </w:rPr>
        <w:t xml:space="preserve">Однако при решении данного вопроса возникли определенные сложности с ее реализацией, связанные с действием оспариваемых норм. Так, пунктом 4 части 3 статьи 12 </w:t>
      </w:r>
      <w:hyperlink w:history="1" r:id="rId_vfk1hd7nbybyhjkjl_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установлено, что миссионер для прохождения учетной регистрации в государственном органе по делам религий представляет заявление с приложением, в том числе, нотариально заверенный и согласованный с местными кенешами список граждан, членов Учредительного совета, пригласивших миссионера в Кыргызстан, являющихся инициаторами создания религиозной организации и миссии и ответственных в рамках устава перед законом за деятельность миссионера. Кроме того, согласно абзацу четвертому части 2 статьи 13 вышеуказанного </w:t>
      </w:r>
      <w:hyperlink w:history="1" r:id="rIdrcadcmqgh1__rv1vqvh0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аналогичные требования установлены и для учетной регистрации религиозного учебного заведения.</w:t>
      </w:r>
    </w:p>
    <w:p>
      <w:pPr>
        <w:spacing w:after="120"/>
        <w:jc w:val="both"/>
      </w:pPr>
      <w:r>
        <w:rPr>
          <w:rFonts w:ascii="Arial" w:cs="Arial" w:eastAsia="Arial" w:hAnsi="Arial"/>
          <w:sz w:val="24"/>
          <w:szCs w:val="24"/>
        </w:rPr>
        <w:t xml:space="preserve">Аскар кызы Ж. отмечает, что Бишкекский городской кенеш отказал в согласовании списка инициаторов, сославшись на отсутствие механизма согласования. При этом она указывает, что Межрайонный суд города Бишкек решением от 27 июля 2012 года отказал в удовлетворении их иска по этому вопросу.</w:t>
      </w:r>
    </w:p>
    <w:p>
      <w:pPr>
        <w:spacing w:after="120"/>
        <w:jc w:val="both"/>
      </w:pPr>
      <w:r>
        <w:rPr>
          <w:rFonts w:ascii="Arial" w:cs="Arial" w:eastAsia="Arial" w:hAnsi="Arial"/>
          <w:sz w:val="24"/>
          <w:szCs w:val="24"/>
        </w:rPr>
        <w:t xml:space="preserve">Субъект обращения отмечает, что </w:t>
      </w:r>
      <w:hyperlink w:history="1" r:id="rIdblxnnmtekhdxuilqvcqv-">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Конституционной палаты Верховного суда Кыргызской Республики от 4 сентября 2014 года абзац третий части 2 статьи 10 </w:t>
      </w:r>
      <w:hyperlink w:history="1" r:id="rIdjioxtvoqhtktzuixvrq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w:t>
      </w:r>
      <w:r>
        <w:rPr>
          <w:rFonts w:ascii="Arial" w:cs="Arial" w:eastAsia="Arial" w:hAnsi="Arial"/>
          <w:sz w:val="24"/>
          <w:szCs w:val="24"/>
        </w:rPr>
        <w:t xml:space="preserve"> вероисповедания и религиозных организациях в Кыргызской Республике», в части согласования с местными кенешами списка граждан, членов Учредительного совета, являющихся инициаторами создания религиозной организации и миссии, был признан противоречащим части 2 статьи 20 и статье 35 </w:t>
      </w:r>
      <w:hyperlink w:history="1" r:id="rIdj946lv9sz-cgts2zjodr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Однако, аналогичные нормы статей 12 и 13 указанного </w:t>
      </w:r>
      <w:hyperlink w:history="1" r:id="rId9kjjqxuadxlut9td10az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содержащие те же требования, остались без рассмотрения.</w:t>
      </w:r>
    </w:p>
    <w:p>
      <w:pPr>
        <w:spacing w:after="120"/>
        <w:jc w:val="both"/>
      </w:pPr>
      <w:r>
        <w:rPr>
          <w:rFonts w:ascii="Arial" w:cs="Arial" w:eastAsia="Arial" w:hAnsi="Arial"/>
          <w:sz w:val="24"/>
          <w:szCs w:val="24"/>
        </w:rPr>
        <w:t xml:space="preserve">Таким образом, при учреждении религиозного учебного заведения для реализации конституционного права граждан на получение образования, в том числе религиозного, религиозная организация обязана проходить не имеющую механизма реализации процедуру согласования списка граждан в местном кенеше.</w:t>
      </w:r>
    </w:p>
    <w:p>
      <w:pPr>
        <w:spacing w:after="120"/>
        <w:jc w:val="both"/>
      </w:pPr>
      <w:r>
        <w:rPr>
          <w:rFonts w:ascii="Arial" w:cs="Arial" w:eastAsia="Arial" w:hAnsi="Arial"/>
          <w:sz w:val="24"/>
          <w:szCs w:val="24"/>
        </w:rPr>
        <w:t xml:space="preserve">Принимая во внимание, что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Аскар кызы Ж. считает, что оспариваемые ею нормы ущемляют права миссионеров на свободу вероисповедания и свободу объединения, а также ограничивают право граждан Кыргызской Республики на получение религиозного образования.</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17 апреля 2019 года ходатайство заявителя было принято к производству в части требования о проверке пункта 4 части 3 статьи 12 и абзаца четвертого части 2 статьи 13 </w:t>
      </w:r>
      <w:hyperlink w:history="1" r:id="rId9yxp36dj86cqto8vxs4k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на соответствие части 1 статьи 19, частям 1, 2, 3 статьи 32 </w:t>
      </w:r>
      <w:hyperlink w:history="1" r:id="rIdxk0gakeerih7gsa3fenj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заявителю было отказано в проверке оспариваемых норм на соответствие пункту 7 части 4, пунктам 4, 5, 8 части 5 статьи 20, части 1</w:t>
      </w:r>
      <w:r>
        <w:rPr>
          <w:rFonts w:ascii="Arial" w:cs="Arial" w:eastAsia="Arial" w:hAnsi="Arial"/>
          <w:sz w:val="24"/>
          <w:szCs w:val="24"/>
        </w:rPr>
        <w:t xml:space="preserve"> статьи 25, статье 35, частям 1, 4 статьи 45 </w:t>
      </w:r>
      <w:hyperlink w:history="1" r:id="rIdg-3csnmbaxnhlidl362c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отсутствия соответствующих правовых аргументов.</w:t>
      </w:r>
    </w:p>
    <w:p>
      <w:pPr>
        <w:spacing w:after="120"/>
        <w:jc w:val="both"/>
      </w:pPr>
      <w:r>
        <w:rPr>
          <w:rFonts w:ascii="Arial" w:cs="Arial" w:eastAsia="Arial" w:hAnsi="Arial"/>
          <w:sz w:val="24"/>
          <w:szCs w:val="24"/>
        </w:rPr>
        <w:t xml:space="preserve">Ввиду отсутствия обращающейся стороны в судебном заседании, ее позиция была оглашена.</w:t>
      </w:r>
    </w:p>
    <w:p>
      <w:pPr>
        <w:spacing w:after="120"/>
        <w:jc w:val="both"/>
      </w:pPr>
      <w:r>
        <w:rPr>
          <w:rFonts w:ascii="Arial" w:cs="Arial" w:eastAsia="Arial" w:hAnsi="Arial"/>
          <w:sz w:val="24"/>
          <w:szCs w:val="24"/>
        </w:rPr>
        <w:t xml:space="preserve">Представитель стороны-ответчика Дуйшенбаев Ш.С.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Согласно части 1 статьи 19 </w:t>
      </w:r>
      <w:hyperlink w:history="1" r:id="rIddfoqvswf1go5q3hoy3d3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 Исключение составляют лишь права, присущие исключительно гражданам Кыргызской Республики, в частности, право избирать, быть избранным в представительные органы.</w:t>
      </w:r>
    </w:p>
    <w:p>
      <w:pPr>
        <w:spacing w:after="120"/>
        <w:jc w:val="both"/>
      </w:pPr>
      <w:r>
        <w:rPr>
          <w:rFonts w:ascii="Arial" w:cs="Arial" w:eastAsia="Arial" w:hAnsi="Arial"/>
          <w:sz w:val="24"/>
          <w:szCs w:val="24"/>
        </w:rPr>
        <w:t xml:space="preserve">Указанная конституционная норма нашла свое отражение в статье 3 </w:t>
      </w:r>
      <w:hyperlink w:history="1" r:id="rIdnjyhtri08parh3chtrz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120"/>
        <w:jc w:val="both"/>
      </w:pPr>
      <w:r>
        <w:rPr>
          <w:rFonts w:ascii="Arial" w:cs="Arial" w:eastAsia="Arial" w:hAnsi="Arial"/>
          <w:sz w:val="24"/>
          <w:szCs w:val="24"/>
        </w:rPr>
        <w:t xml:space="preserve">Дуйшенбаев Ш.С. отмечает, что частью 2 статьи 20 </w:t>
      </w:r>
      <w:hyperlink w:history="1" r:id="rIdcpkvk7t7xhoe6kpdp3w4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допускается возможность ограничения прав и свобод человека и гражданина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Представитель стороны–ответчика считает, что оспариваемые нормы приняты также с учетом требований статьи 4 </w:t>
      </w:r>
      <w:hyperlink w:history="1" r:id="rIdzbpv8xr5tcjp4qqrxik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национальной безопасности», согласно которой национальная безопасность достигается проведением единой государственной политики в области обеспечения национальной безопасности, системой мер экономического, политического, организационного, военного и иного характера, адекватных угрозам жизненно важным интересам личности,</w:t>
      </w:r>
      <w:r>
        <w:rPr>
          <w:rFonts w:ascii="Arial" w:cs="Arial" w:eastAsia="Arial" w:hAnsi="Arial"/>
          <w:sz w:val="24"/>
          <w:szCs w:val="24"/>
        </w:rPr>
        <w:t xml:space="preserve"> общества и государства.</w:t>
      </w:r>
    </w:p>
    <w:p>
      <w:pPr>
        <w:spacing w:after="120"/>
        <w:jc w:val="both"/>
      </w:pPr>
      <w:r>
        <w:rPr>
          <w:rFonts w:ascii="Arial" w:cs="Arial" w:eastAsia="Arial" w:hAnsi="Arial"/>
          <w:sz w:val="24"/>
          <w:szCs w:val="24"/>
        </w:rPr>
        <w:t xml:space="preserve">Для создания и поддержания необходимого уровня защищенности объектов национальной безопасности в Кыргызской Республике разрабатывается система правовых норм, регулирующих отношения в сфере национальной безопасности, определяются основные направления деятельности органов государственной власти и управления в данной области, формируются или преобразуются органы обеспечения национальной безопасности и механизм контроля и надзора за их деятельностью.</w:t>
      </w:r>
    </w:p>
    <w:p>
      <w:pPr>
        <w:spacing w:after="120"/>
        <w:jc w:val="both"/>
      </w:pPr>
      <w:r>
        <w:rPr>
          <w:rFonts w:ascii="Arial" w:cs="Arial" w:eastAsia="Arial" w:hAnsi="Arial"/>
          <w:sz w:val="24"/>
          <w:szCs w:val="24"/>
        </w:rPr>
        <w:t xml:space="preserve">Согласно абзацу пятому части 1 статьи 5 </w:t>
      </w:r>
      <w:hyperlink w:history="1" r:id="rIdch9ijv1uo4tlc2eufeh5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политика государства в сфере свободы вероисповедания строится, в том числе, на принципе равенства перед законом всех религий и религиозных организаций. При этом деятельность и функционирование религиозных организаций без учетной регистрации в государственном органе по делам религий в соответствии с Законом запрещаются. Часть 1 статьи 12 вышеуказанного </w:t>
      </w:r>
      <w:hyperlink w:history="1" r:id="rIdqmc7gufrqba7pgbalur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гласит, что иностранный гражданин, прибывающий в Кыргызскую Республику с целью религиозной деятельности, проходит учетную регистрацию в государственном органе по делам религий в соответствии с законодательством Кыргызской Республики. Часть 6 статьи 12 того же </w:t>
      </w:r>
      <w:hyperlink w:history="1" r:id="rIdbrwbptkwjsfk6tbeqgj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что миссионеру может быть отказано в учетной регистрации, если его деятельность представляет угрозу общественной безопасности и порядку, межэтническому и межконфессиональному согласию, здоровью и нравственности населения.</w:t>
      </w:r>
    </w:p>
    <w:p>
      <w:pPr>
        <w:spacing w:after="120"/>
        <w:jc w:val="both"/>
      </w:pPr>
      <w:r>
        <w:rPr>
          <w:rFonts w:ascii="Arial" w:cs="Arial" w:eastAsia="Arial" w:hAnsi="Arial"/>
          <w:sz w:val="24"/>
          <w:szCs w:val="24"/>
        </w:rPr>
        <w:t xml:space="preserve">Дуйшенбаев Ш.С. отмечает, что согласно абзацу второму части 1 статьи 13 </w:t>
      </w:r>
      <w:hyperlink w:history="1" r:id="rIdpuurxma5qnmxojcwfp3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религиозное обучение на территории Кыргызской Республики запрещается без прохождения учетной регистрации в установленном порядке. Согласно же статье 20 указанного </w:t>
      </w:r>
      <w:hyperlink w:history="1" r:id="rIdahlhydnkh_mqwuggvye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религиозные организации, миссии и религиозные учебные заведения в своей</w:t>
      </w:r>
      <w:r>
        <w:rPr>
          <w:rFonts w:ascii="Arial" w:cs="Arial" w:eastAsia="Arial" w:hAnsi="Arial"/>
          <w:sz w:val="24"/>
          <w:szCs w:val="24"/>
        </w:rPr>
        <w:t xml:space="preserve"> деятельности должны руководствоваться своими уставами и обязаны соблюдать Конституцию, названный Закон и иные нормативные правовые акты Кыргызской Республики.</w:t>
      </w:r>
    </w:p>
    <w:p>
      <w:pPr>
        <w:spacing w:after="120"/>
        <w:jc w:val="both"/>
      </w:pPr>
      <w:r>
        <w:rPr>
          <w:rFonts w:ascii="Arial" w:cs="Arial" w:eastAsia="Arial" w:hAnsi="Arial"/>
          <w:sz w:val="24"/>
          <w:szCs w:val="24"/>
        </w:rPr>
        <w:t xml:space="preserve">Данные требования вытекают непосредственно из положений статьи 3 </w:t>
      </w:r>
      <w:hyperlink w:history="1" r:id="rIduesalqyfajxpdmwg5a33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 предусматривающей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а также выявление, предупреждение и пресечение экстремистской деятельности общественных объединений или религиозных организаций, иных организаций, физических лиц.</w:t>
      </w:r>
    </w:p>
    <w:p>
      <w:pPr>
        <w:spacing w:after="120"/>
        <w:jc w:val="both"/>
      </w:pPr>
      <w:r>
        <w:rPr>
          <w:rFonts w:ascii="Arial" w:cs="Arial" w:eastAsia="Arial" w:hAnsi="Arial"/>
          <w:sz w:val="24"/>
          <w:szCs w:val="24"/>
        </w:rPr>
        <w:t xml:space="preserve">На основании изложенного, Дуйшенбаев Ш.С. просит в удовлетворении ходатайства Аскар кызы Ж. отказать.</w:t>
      </w:r>
    </w:p>
    <w:p>
      <w:pPr>
        <w:spacing w:after="120"/>
        <w:jc w:val="both"/>
      </w:pPr>
      <w:r>
        <w:rPr>
          <w:rFonts w:ascii="Arial" w:cs="Arial" w:eastAsia="Arial" w:hAnsi="Arial"/>
          <w:sz w:val="24"/>
          <w:szCs w:val="24"/>
        </w:rPr>
        <w:t xml:space="preserve">Второй представитель стороны-ответчика Арзиев М.И. поддержал доводы Дуйшенбаева Ш.С.</w:t>
      </w:r>
    </w:p>
    <w:p>
      <w:pPr>
        <w:spacing w:after="120"/>
        <w:jc w:val="both"/>
      </w:pPr>
      <w:r>
        <w:rPr>
          <w:rFonts w:ascii="Arial" w:cs="Arial" w:eastAsia="Arial" w:hAnsi="Arial"/>
          <w:sz w:val="24"/>
          <w:szCs w:val="24"/>
        </w:rPr>
        <w:t xml:space="preserve">Представители Аппарата Президента Кыргызской Республики Букамбаева А.Ж., Министерства юстиции Кыргызской Республики Ызакова С.Т. в целом согласились с доводами обращающейся стороны и считают, что нормативное положение пункта 4 части 3 статьи 12 и абзаца четвертого части 2 статьи 13 </w:t>
      </w:r>
      <w:hyperlink w:history="1" r:id="rIdjoekqhigq1erqac7stp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выраженное словами «согласованный с местными кенешами…»,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Представителем Правительства Кыргызской Республики Токторовым Э.М. в отношении оспариваемых норм была представлена позиция, в которой были приведены доводы аналогичные доводам указанных выше представителей иных лиц. В то же время, им было отмечено, что Государственной комиссией по делам религий Кыргызской Республики был инициирован проект Закона «О внесении изменений в </w:t>
      </w:r>
      <w:hyperlink w:history="1" r:id="rIda29iprbkfxrafuek7zfl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w:t>
      </w:r>
      <w:r>
        <w:rPr>
          <w:rFonts w:ascii="Arial" w:cs="Arial" w:eastAsia="Arial" w:hAnsi="Arial"/>
          <w:sz w:val="24"/>
          <w:szCs w:val="24"/>
        </w:rPr>
        <w:t xml:space="preserve"> Кыргызской Республике», предусматривающий исключение оспариваемых норм с введением в законодательство положения об уведомлении органов местного самоуправления о состоявшейся учетной регистрации (перерегистрации).</w:t>
      </w:r>
    </w:p>
    <w:p>
      <w:pPr>
        <w:spacing w:after="120"/>
        <w:jc w:val="both"/>
      </w:pPr>
      <w:r>
        <w:rPr>
          <w:rFonts w:ascii="Arial" w:cs="Arial" w:eastAsia="Arial" w:hAnsi="Arial"/>
          <w:sz w:val="24"/>
          <w:szCs w:val="24"/>
        </w:rPr>
        <w:t xml:space="preserve">Принимая во внимание данное обстоятельство, он воздержался от конкретных выводов, затрагивающих вопрос конституционности оспариваемых норм.</w:t>
      </w:r>
    </w:p>
    <w:p>
      <w:pPr>
        <w:spacing w:after="120"/>
        <w:jc w:val="both"/>
      </w:pPr>
      <w:r>
        <w:rPr>
          <w:rFonts w:ascii="Arial" w:cs="Arial" w:eastAsia="Arial" w:hAnsi="Arial"/>
          <w:sz w:val="24"/>
          <w:szCs w:val="24"/>
        </w:rPr>
        <w:t xml:space="preserve">Представитель Государственной комиссии по делам религий Кыргызской Республики Ныязбаев К. Н изменил свою позицию, изложенную письменном виде. Если ранее он соглашался с мнением обращающейся стороны, то в судебном заседании заявил о непротиворечии оспариваемых норм требованиям Конституции Кыргызской Республики. По его мнению, нормы относятся лишь к процедуре, связанной с учетной регистрацией, и не ограничивают религиозные свободы миссионеров и граждан Кыргызской Республики.</w:t>
      </w:r>
    </w:p>
    <w:p>
      <w:pPr>
        <w:spacing w:after="120"/>
        <w:jc w:val="both"/>
      </w:pPr>
      <w:r>
        <w:rPr>
          <w:rFonts w:ascii="Arial" w:cs="Arial" w:eastAsia="Arial" w:hAnsi="Arial"/>
          <w:sz w:val="24"/>
          <w:szCs w:val="24"/>
        </w:rPr>
        <w:t xml:space="preserve">По словам Ныязбаева К.Н. Госкомиссия по делам религий считает, что рассматриваемые меры направлены на укрепление национальной безопасности Кыргызской Республики.</w:t>
      </w:r>
    </w:p>
    <w:p>
      <w:pPr>
        <w:spacing w:after="120"/>
        <w:jc w:val="both"/>
      </w:pPr>
      <w:r>
        <w:rPr>
          <w:rFonts w:ascii="Arial" w:cs="Arial" w:eastAsia="Arial" w:hAnsi="Arial"/>
          <w:sz w:val="24"/>
          <w:szCs w:val="24"/>
        </w:rPr>
        <w:t xml:space="preserve">В соответствии с позицией представителя Государственного комитета национальной безопасности Кыргызской Республики Салибаевой Н.А., представленной в письменном виде, требования о согласовании с местными кенешами списка граждан, членов Учредительного совета, являющихся инициаторами создания религиозного учебного заведения и ответственных в рамках устава перед законом, законодатель преследовал цель обеспечить национальную безопасность, в том числе, безопасность населения от религиозного экстремизма.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В соответствии с частью 4 статьи 19 конституционного </w:t>
      </w:r>
      <w:hyperlink w:history="1" r:id="rIdb6rfiprb13qcmdhr2ut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w:t>
      </w:r>
      <w:r>
        <w:rPr>
          <w:rFonts w:ascii="Arial" w:cs="Arial" w:eastAsia="Arial" w:hAnsi="Arial"/>
          <w:sz w:val="24"/>
          <w:szCs w:val="24"/>
        </w:rPr>
        <w:t xml:space="preserve">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4 части 3 статьи 12 и абзац четвертый части 2 статьи 13 </w:t>
      </w:r>
      <w:hyperlink w:history="1" r:id="rIduco_rvc82bfb-5mcc8g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следующего содержания:</w:t>
      </w:r>
    </w:p>
    <w:p>
      <w:pPr>
        <w:spacing w:after="120"/>
        <w:jc w:val="both"/>
      </w:pPr>
      <w:r>
        <w:rPr>
          <w:rFonts w:ascii="Arial" w:cs="Arial" w:eastAsia="Arial" w:hAnsi="Arial"/>
          <w:sz w:val="24"/>
          <w:szCs w:val="24"/>
        </w:rPr>
        <w:t xml:space="preserve">«</w:t>
      </w:r>
      <w:hyperlink w:history="1" r:id="rIdru1fguq98pg_d3aow9gad">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Учетная регистрация иностранных граждан (миссионеров), прибывающих в Кыргызскую Республику с целью религиозной деятельности</w:t>
      </w:r>
    </w:p>
    <w:p>
      <w:pPr>
        <w:spacing w:after="120"/>
        <w:jc w:val="both"/>
      </w:pPr>
      <w:r>
        <w:rPr>
          <w:rFonts w:ascii="Arial" w:cs="Arial" w:eastAsia="Arial" w:hAnsi="Arial"/>
          <w:sz w:val="24"/>
          <w:szCs w:val="24"/>
        </w:rPr>
        <w:t xml:space="preserve">3. Миссионер для прохождения учетной регистрации в государственном органе по делам религий представляет заявление.</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нотариально заверенный и согласованный с местными кенешами список граждан, членов Учредительного совета, пригласивших миссионера в Кыргызстан, являющихся инициаторами создания религиозной организации и миссии и ответственных в рамках устава перед законом за деятельность миссионера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xrgotz93tumz1m4u4agge">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Учетная регистрация религиозного учебного заведения</w:t>
      </w:r>
    </w:p>
    <w:p>
      <w:pPr>
        <w:spacing w:after="120"/>
        <w:jc w:val="both"/>
      </w:pPr>
      <w:r>
        <w:rPr>
          <w:rFonts w:ascii="Arial" w:cs="Arial" w:eastAsia="Arial" w:hAnsi="Arial"/>
          <w:sz w:val="24"/>
          <w:szCs w:val="24"/>
        </w:rPr>
        <w:t xml:space="preserve">Для учетной регистрации религиозного учебного заведения учредитель представляет:</w:t>
      </w:r>
    </w:p>
    <w:p>
      <w:pPr>
        <w:spacing w:after="120"/>
        <w:jc w:val="both"/>
      </w:pPr>
      <w:r>
        <w:rPr>
          <w:rFonts w:ascii="Arial" w:cs="Arial" w:eastAsia="Arial" w:hAnsi="Arial"/>
          <w:sz w:val="24"/>
          <w:szCs w:val="24"/>
        </w:rPr>
        <w:t xml:space="preserve">нотариально заверенный и согласованный с местными кенешами список граждан, членов Учредительного совета, являющихся инициаторами создания религиозного учебного заведения и ответственных в рамках устава перед законом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kialo_qxcehkncpwjxsr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принят в соответствии порядком, установленным законодательством, опубликован в газете «Эркин Тоо» от 16 января 2009 года №3, внесен в Государственный реестр нормативных правовых актов Кыргызской Республики и является действующим.</w:t>
      </w:r>
    </w:p>
    <w:p>
      <w:pPr>
        <w:spacing w:after="120"/>
        <w:jc w:val="both"/>
      </w:pPr>
      <w:hyperlink w:history="1" r:id="rId-x0bumo0w1ty6urrywg1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Кыргызскую Республику светским государством, в котором никакая религия не может устанавливаться в качестве государственной или обязательной, а религия и все культы отделены от государства (часть 1 статьи 1, части 1 и 2 статьи 7), исходит из того, что принцип светскости предполагает отделение государства от религиозных догм, но не означает удаление религии из общественной жизни, предусматривая возможность их толерантного сосуществования, и является одним из признаков подлинной демократии. Принцип светскости способствует разграничению сфер влияния государства религиозных организаций при сохранении роли государства как основной формы организации общественно-политической власти. Данный принцип вытекает из статьи 7 </w:t>
      </w:r>
      <w:hyperlink w:history="1" r:id="rIdgv4oolvgenugpbxnpjg9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следует принять во внимание, что религиозная свобода является одной из смыслообразующих и фундаментальных ценностей, играющей важнейшую роль в духовно-нравственном самоопределении личности, и гарантирует в качестве одного из основных личных прав свободу совести и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(части 1, 2, 3 статьи 32).</w:t>
      </w:r>
    </w:p>
    <w:p>
      <w:pPr>
        <w:spacing w:after="120"/>
        <w:jc w:val="both"/>
      </w:pPr>
      <w:r>
        <w:rPr>
          <w:rFonts w:ascii="Arial" w:cs="Arial" w:eastAsia="Arial" w:hAnsi="Arial"/>
          <w:sz w:val="24"/>
          <w:szCs w:val="24"/>
        </w:rPr>
        <w:t xml:space="preserve">Право на свободу совести и вероисповедания признается также международно-правовыми актами, являющимися составной частью правовой системы Кыргызской Республики. В частности, Международным пактом о гражданских и политических правах (статья 18) предусматривается, что</w:t>
      </w:r>
      <w:r>
        <w:rPr>
          <w:rFonts w:ascii="Arial" w:cs="Arial" w:eastAsia="Arial" w:hAnsi="Arial"/>
          <w:sz w:val="24"/>
          <w:szCs w:val="24"/>
        </w:rPr>
        <w:t xml:space="preserve"> право на свободу совести и вероисповедания включает свободу менять свою религию или убеждения и свободу исповедовать свою религию или убеждения как индивидуально, так и сообща с другими, публичным или частным порядком в богослужении, обучении, отправлении религиозных и культовых обрядов.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по вопросу свободы вероисповедания выражала свою позицию, согласно которой содержанием понятия свободы вероисповедания является право человека выбирать, иметь, менять, выражать и распространять религиозные убеждения, действовать в соответствии с ними, участвовать в отправлении религиозных культов, ритуалов, обрядов, не запрещенных законом. Следовательно, свобода вероисповедания содержит двусторонность, совмещает в себе частное и общее начало, в первом случае, право осуществляется путем выбора каждого той или иной веры, во втором случае, гражданин имеет право индивидуально или совместно с другими исповедовать религию (</w:t>
      </w:r>
      <w:hyperlink w:history="1" r:id="rIdktbidzkzj2guxvxwe7mfz">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4 сентября 2014 года).</w:t>
      </w:r>
    </w:p>
    <w:p>
      <w:pPr>
        <w:spacing w:after="120"/>
        <w:jc w:val="both"/>
      </w:pPr>
      <w:r>
        <w:rPr>
          <w:rFonts w:ascii="Arial" w:cs="Arial" w:eastAsia="Arial" w:hAnsi="Arial"/>
          <w:sz w:val="24"/>
          <w:szCs w:val="24"/>
        </w:rPr>
        <w:t xml:space="preserve">Соответственно, данное право должно получить свое развитие и во внешней сфере посредством реализации права на свободу объединений, поскольку значимость ее роли в общественной жизни государства обязывает Кыргызскую Республику, как правовое и светское государство, создать возможность для каждого исповедовать свою веру, убеждения и религию, не допуская произвольного и неоправданного вмешательства в деятельность религиозных организаций.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свобода вероисповедания предполагает создание государством правовых условий, исключающих возможность наличия каких-либо преград при реализации гражданами своего права свободно выбирать и иметь религиозные убеждения, поскольку указанное право относится к категории прав, не подлежащих какому-либо ограничению (пункт 5 части 5 статьи 20 </w:t>
      </w:r>
      <w:hyperlink w:history="1" r:id="rIdoqgvsmsuur2tm4hdifz3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Взаимоотношения государства и религии на демократической основе предполагают признание и гарантированность свободы совести и вероисповедания, которое обеспечивается путем формирования государственной политики в указанной сфере и вытекающей из нее обязанности государства по созданию правового механизма, предусматривающего как необходимые гарантии, так и меры ограничительного характера.</w:t>
      </w:r>
    </w:p>
    <w:p>
      <w:pPr>
        <w:spacing w:after="120"/>
        <w:jc w:val="both"/>
      </w:pPr>
      <w:r>
        <w:rPr>
          <w:rFonts w:ascii="Arial" w:cs="Arial" w:eastAsia="Arial" w:hAnsi="Arial"/>
          <w:sz w:val="24"/>
          <w:szCs w:val="24"/>
        </w:rPr>
        <w:t xml:space="preserve">Целью государственной политики является создание оптимальной модели государственно-конфессионального сотрудничества, основанного на светском характере государства, через эффективное государственное регулирование деятельности религиозных и общественных институтов по обеспечению безопасности граждан и государства, укреплению межконфессионального согласия и веротерпимости, противодействию религиозному радикализму и экстремизму на основе принципов прав человека и свободы вероисповедания.</w:t>
      </w:r>
    </w:p>
    <w:p>
      <w:pPr>
        <w:spacing w:after="120"/>
        <w:jc w:val="both"/>
      </w:pPr>
      <w:r>
        <w:rPr>
          <w:rFonts w:ascii="Arial" w:cs="Arial" w:eastAsia="Arial" w:hAnsi="Arial"/>
          <w:sz w:val="24"/>
          <w:szCs w:val="24"/>
        </w:rPr>
        <w:t xml:space="preserve">В свою очередь, составной частью правового механизма в сфере религиозной деятельности является Закон «О свободе вероисповедания и религиозных организациях в Кыргызской Республике», принятый в целях обеспечения права каждого человека на свободу вероисповедания, гарантированного Конституцией Кыргызской Республики и международными договорами.</w:t>
      </w:r>
    </w:p>
    <w:p>
      <w:pPr>
        <w:spacing w:after="120"/>
        <w:jc w:val="both"/>
      </w:pPr>
      <w:r>
        <w:rPr>
          <w:rFonts w:ascii="Arial" w:cs="Arial" w:eastAsia="Arial" w:hAnsi="Arial"/>
          <w:sz w:val="24"/>
          <w:szCs w:val="24"/>
        </w:rPr>
        <w:t xml:space="preserve">Статьями 12 и 13 обозначенного </w:t>
      </w:r>
      <w:hyperlink w:history="1" r:id="rIdxnimcglwp0lenyk3zag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регламентируется порядок учетной регистрации иностранных граждан (миссионеров), прибывающих в Кыргызскую Республику с целью осуществления религиозной деятельности и религиозных учебных заведений.</w:t>
      </w:r>
    </w:p>
    <w:p>
      <w:pPr>
        <w:spacing w:after="120"/>
        <w:jc w:val="both"/>
      </w:pPr>
      <w:r>
        <w:rPr>
          <w:rFonts w:ascii="Arial" w:cs="Arial" w:eastAsia="Arial" w:hAnsi="Arial"/>
          <w:sz w:val="24"/>
          <w:szCs w:val="24"/>
        </w:rPr>
        <w:t xml:space="preserve">Для учетной регистрации миссионеров и религиозных учебных заведений уполномоченному органу предоставляется список документов, указанных в части 3 статьи 12 и части 2 статьи 13 </w:t>
      </w:r>
      <w:hyperlink w:history="1" r:id="rId-cd5mul06y0zw9grvdj5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Одним из них является нотариально заверенный и согласованный с местными кенешами список граждан, членов Учредительного совета, пригласивших миссионера в</w:t>
      </w:r>
      <w:r>
        <w:rPr>
          <w:rFonts w:ascii="Arial" w:cs="Arial" w:eastAsia="Arial" w:hAnsi="Arial"/>
          <w:sz w:val="24"/>
          <w:szCs w:val="24"/>
        </w:rPr>
        <w:t xml:space="preserve"> Кыргызстан, а также являющихся инициаторами создания религиозного учебного заведения и ответственных в рамках устава перед законом за их деятельность.</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схожая норма рассматриваемого Закона, предусматривающая требование о согласовании списка граждан, членов Учредительного совета, являющихся инициаторами создания религиозной организации, с местными кенешами для их учетной регистрации была предметом ее рассмотрения. </w:t>
      </w:r>
      <w:hyperlink w:history="1" r:id="rIdvvnqmisccow9ds5zempz_">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от 4 сентября 2014 года оспоренная норма была признана противоречащей Конституции Кыргызской Республики.</w:t>
      </w:r>
    </w:p>
    <w:p>
      <w:pPr>
        <w:spacing w:after="120"/>
        <w:jc w:val="both"/>
      </w:pPr>
      <w:r>
        <w:rPr>
          <w:rFonts w:ascii="Arial" w:cs="Arial" w:eastAsia="Arial" w:hAnsi="Arial"/>
          <w:sz w:val="24"/>
          <w:szCs w:val="24"/>
        </w:rPr>
        <w:t xml:space="preserve">В указанном Решении было отмечено, что на основе принципов определения вопросов местного значения, закрепленных в статье 16 </w:t>
      </w:r>
      <w:hyperlink w:history="1" r:id="rIdjw5orpd8gup0wpugt6yj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согласование местными кенешами списка граждан, являющихся инициаторами создания религиозной организации не может относиться к вопросам местного значения, так как функции учетной регистрации возложены на государственный орган по делам религий.</w:t>
      </w:r>
    </w:p>
    <w:p>
      <w:pPr>
        <w:spacing w:after="120"/>
        <w:jc w:val="both"/>
      </w:pPr>
      <w:r>
        <w:rPr>
          <w:rFonts w:ascii="Arial" w:cs="Arial" w:eastAsia="Arial" w:hAnsi="Arial"/>
          <w:sz w:val="24"/>
          <w:szCs w:val="24"/>
        </w:rPr>
        <w:t xml:space="preserve">Таким же образом, согласно </w:t>
      </w:r>
      <w:hyperlink w:history="1" r:id="rIds5hoshtnnfufwif-ilds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местном самоуправлении» вопросы согласования списка граждан, членов Учредительного совета, пригласивших миссионера в Кыргызскую Республику, либо являющихся инициаторами создания религиозного учебного заведения не относятся к вопросам местного значения. Согласно </w:t>
      </w:r>
      <w:hyperlink w:history="1" r:id="rId8_hrb30fkj90nrcdfqgrl">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свободе вероисповедания и религиозных организациях в Кыргызской Республике» функции учетной регистрации в сфере религиозной деятельности, как отмечено выше, возложены на государственный орган по делам религий.</w:t>
      </w:r>
    </w:p>
    <w:p>
      <w:pPr>
        <w:spacing w:after="120"/>
        <w:jc w:val="both"/>
      </w:pPr>
      <w:r>
        <w:rPr>
          <w:rFonts w:ascii="Arial" w:cs="Arial" w:eastAsia="Arial" w:hAnsi="Arial"/>
          <w:sz w:val="24"/>
          <w:szCs w:val="24"/>
        </w:rPr>
        <w:t xml:space="preserve">По своей сути оспариваемые законоположения о согласовании списка граждан, членов Учредительного совета с местными кенешами для учетной регистрации приглашенного миссионера, равно как и для регистрации религиозного учебного заведения, само по себе выступает неоправданным и</w:t>
      </w:r>
      <w:r>
        <w:rPr>
          <w:rFonts w:ascii="Arial" w:cs="Arial" w:eastAsia="Arial" w:hAnsi="Arial"/>
          <w:sz w:val="24"/>
          <w:szCs w:val="24"/>
        </w:rPr>
        <w:t xml:space="preserve"> не имеющим регулятивного смысла препятствием при реализации гражданами права свободно выбирать и иметь религиозные убеждения, ограничивая тем самым право на свободу вероисповедания, возможностей для удовлетворения потребностей в проведении мероприятий религиозного характера.</w:t>
      </w:r>
    </w:p>
    <w:p>
      <w:pPr>
        <w:spacing w:after="120"/>
        <w:jc w:val="both"/>
      </w:pPr>
      <w:r>
        <w:rPr>
          <w:rFonts w:ascii="Arial" w:cs="Arial" w:eastAsia="Arial" w:hAnsi="Arial"/>
          <w:sz w:val="24"/>
          <w:szCs w:val="24"/>
        </w:rPr>
        <w:t xml:space="preserve">Следовательно, действие оспариваемых норм входит в противоречие с нормами </w:t>
      </w:r>
      <w:hyperlink w:history="1" r:id="rIdrsxky5i5gcopoeegfk-v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гарантирующими запрет на введение ограничения на право свободно выбирать и иметь религиозные убеждения (пункт 5 части 5 статьи 20, части 1, 2, 3 статьи 32).</w:t>
      </w:r>
    </w:p>
    <w:p>
      <w:pPr>
        <w:spacing w:after="120"/>
        <w:jc w:val="both"/>
      </w:pPr>
      <w:r>
        <w:rPr>
          <w:rFonts w:ascii="Arial" w:cs="Arial" w:eastAsia="Arial" w:hAnsi="Arial"/>
          <w:sz w:val="24"/>
          <w:szCs w:val="24"/>
        </w:rPr>
        <w:t xml:space="preserve">Смысл учетной регистрации в сфере религиозной деятельности, осуществляемый государственным органом по делам религии, заключается в необходимости проведения единой политики на государственном уровне, в целях исключения распространения идеологического влияния деструктивных религиозных организаций или религиозных вероучений, несущих в себе потенциальную угрозу дестабилизации общественного порядка на религиозной почве.</w:t>
      </w:r>
    </w:p>
    <w:p>
      <w:pPr>
        <w:spacing w:after="120"/>
        <w:jc w:val="both"/>
      </w:pPr>
      <w:r>
        <w:rPr>
          <w:rFonts w:ascii="Arial" w:cs="Arial" w:eastAsia="Arial" w:hAnsi="Arial"/>
          <w:sz w:val="24"/>
          <w:szCs w:val="24"/>
        </w:rPr>
        <w:t xml:space="preserve">В этой связи, органы местного самоуправления при содействии государственного органа по делам религий могут только реализовывать на соответствующей территории государственную политику в области религии, целью которой является обеспечение защиты общественного порядка, укрепление межконфессионального согласия и веротерпимости, противодействие религиозному радикализму и экстремизму.</w:t>
      </w:r>
    </w:p>
    <w:p>
      <w:pPr>
        <w:spacing w:after="120"/>
        <w:jc w:val="both"/>
      </w:pPr>
      <w:r>
        <w:rPr>
          <w:rFonts w:ascii="Arial" w:cs="Arial" w:eastAsia="Arial" w:hAnsi="Arial"/>
          <w:sz w:val="24"/>
          <w:szCs w:val="24"/>
        </w:rPr>
        <w:t xml:space="preserve">В условиях конституционно зафиксированного отделения религии от государства правовое регулирование деятельности религиозных организаций образует одну из ключевых форм государственно-конфессиональных отношений, что предопределяет повышенные требования к законодательству религии и религиозных организациях, механизму его реализации.</w:t>
      </w:r>
    </w:p>
    <w:p>
      <w:pPr>
        <w:spacing w:after="120"/>
        <w:jc w:val="both"/>
      </w:pPr>
      <w:r>
        <w:rPr>
          <w:rFonts w:ascii="Arial" w:cs="Arial" w:eastAsia="Arial" w:hAnsi="Arial"/>
          <w:sz w:val="24"/>
          <w:szCs w:val="24"/>
        </w:rPr>
        <w:t xml:space="preserve">Необходимость такой регламентации обусловлена сложностью вопросов свободы вероисповедания и деятельности религиозных организаций, требующих квалифицированного и законного их решения</w:t>
      </w:r>
      <w:r>
        <w:rPr>
          <w:rFonts w:ascii="Arial" w:cs="Arial" w:eastAsia="Arial" w:hAnsi="Arial"/>
          <w:sz w:val="24"/>
          <w:szCs w:val="24"/>
        </w:rPr>
        <w:t xml:space="preserve"> всеми государственными органами и органами местного самоуправления для обеспечения защищенности личности от различных форм идеологического принуждения, что напрямую влияет на состояние иных прав и свобод, становление гражданского общества и правового государства в целом. Создание условий для полного выражения каждым человеком своей духовной свободы выступает важным элементом демократизма страны и ее конституционного строя.</w:t>
      </w:r>
    </w:p>
    <w:p>
      <w:pPr>
        <w:spacing w:after="120"/>
        <w:jc w:val="both"/>
      </w:pPr>
      <w:r>
        <w:rPr>
          <w:rFonts w:ascii="Arial" w:cs="Arial" w:eastAsia="Arial" w:hAnsi="Arial"/>
          <w:sz w:val="24"/>
          <w:szCs w:val="24"/>
        </w:rPr>
        <w:t xml:space="preserve">Одним из требований </w:t>
      </w:r>
      <w:hyperlink w:history="1" r:id="rIdaqye7lu5tzt8s7hsgwd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является учетная регистрация религиозных организаций, миссий (представительств) зарубежных религиозных организаций в Кыргызской Республике, религиозных учебных заведений и иностранных граждан (миссионеров), прибывающих в Кыргызскую Республику с целью религиозной деятельности. При этом данный Закон, регламентируя вопросы, связанные с учетной регистрацией, не делает никаких различий между правами и свободами граждан Кыргызской Республики и иностранных граждан, требования к обеим этим категориям являются идентичными.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еще раз отмечает, что учет религиозной организации уполномоченным государственным органом по делам религий позволяет выявить соотношение деятельности организации декларируемым ценностям, оценить общественную безопасность функций и действий религиозной общины.</w:t>
      </w:r>
    </w:p>
    <w:p>
      <w:pPr>
        <w:spacing w:after="120"/>
        <w:jc w:val="both"/>
      </w:pPr>
      <w:r>
        <w:rPr>
          <w:rFonts w:ascii="Arial" w:cs="Arial" w:eastAsia="Arial" w:hAnsi="Arial"/>
          <w:sz w:val="24"/>
          <w:szCs w:val="24"/>
        </w:rPr>
        <w:t xml:space="preserve">Таким образом, доводы заявителя о нарушении оспариваемыми нормами положений части 1 статьи 19 </w:t>
      </w:r>
      <w:hyperlink w:history="1" r:id="rIdtkxcpat5le_qt-svxe-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касающихся прав и обязанностей иностранных граждан, являются несостоятельными.</w:t>
      </w:r>
    </w:p>
    <w:p>
      <w:pPr>
        <w:spacing w:after="120"/>
        <w:jc w:val="both"/>
      </w:pPr>
      <w:r>
        <w:rPr>
          <w:rFonts w:ascii="Arial" w:cs="Arial" w:eastAsia="Arial" w:hAnsi="Arial"/>
          <w:sz w:val="24"/>
          <w:szCs w:val="24"/>
        </w:rPr>
        <w:t xml:space="preserve">На основании изложенного, руководствуясь пунктом 1 части 6 статьи 97 </w:t>
      </w:r>
      <w:hyperlink w:history="1" r:id="rIdhulzgldoo9cmw-ma1nqg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i6ndbpzjxlut6lcd5ud5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нормативные положения пункта 4 части 3 статьи 12 и абзаца четвертого части 2 статьи 13 </w:t>
      </w:r>
      <w:hyperlink w:history="1" r:id="rIdrr2llnl1bzkjewfjdpn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выраженные словами «согласованный с местными кенешами...», противоречащими частям 1, 2, 3 статьи 32 </w:t>
      </w:r>
      <w:hyperlink w:history="1" r:id="rId1cquaciy_x4ehvqlxblg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gurgrx94rq0_94cshww">
      <w:r>
        <w:rPr>
          <w:rFonts w:ascii="Arial" w:cs="Arial" w:eastAsia="Arial" w:hAnsi="Arial"/>
          <w:color w:val="132D3F"/>
          <w:sz w:val="16"/>
          <w:szCs w:val="16"/>
          <w:u w:val="single"/>
        </w:rPr>
        <w:t xml:space="preserve">dalil.kg/document/9783</w:t>
      </w:r>
    </w:hyperlink>
  </w:p>
  <w:p>
    <w:pPr>
      <w:spacing w:after="0" w:before="40"/>
      <w:jc w:val="center"/>
    </w:pPr>
    <w:hyperlink w:history="1" r:id="rId1foduv07ycicj-rd-vg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bxctmvd_va94m2ghskr" Type="http://schemas.openxmlformats.org/officeDocument/2006/relationships/hyperlink" Target="https://dalil.kg/document/202498#st_12" TargetMode="External"/><Relationship Id="rIdomio1_tn7ej5m5prihyib" Type="http://schemas.openxmlformats.org/officeDocument/2006/relationships/hyperlink" Target="https://dalil.kg/document/202498#st_13" TargetMode="External"/><Relationship Id="rIdggnvtjdnirfaoer7lbtjk" Type="http://schemas.openxmlformats.org/officeDocument/2006/relationships/hyperlink" Target="https://dalil.kg/document/202913" TargetMode="External"/><Relationship Id="rIdkcq_mq3csnnndmow1jryg" Type="http://schemas.openxmlformats.org/officeDocument/2006/relationships/hyperlink" Target="https://dalil.kg/document/203281" TargetMode="External"/><Relationship Id="rIddxlzjoj2env0fl9kwhsax" Type="http://schemas.openxmlformats.org/officeDocument/2006/relationships/hyperlink" Target="https://dalil.kg/document/202498" TargetMode="External"/><Relationship Id="rIdam7yngkt1mdc89lct3kxe" Type="http://schemas.openxmlformats.org/officeDocument/2006/relationships/hyperlink" Target="https://dalil.kg/document/202498" TargetMode="External"/><Relationship Id="rIdwznlkrldybxez5a7ixdhr" Type="http://schemas.openxmlformats.org/officeDocument/2006/relationships/hyperlink" Target="https://dalil.kg/document/202498" TargetMode="External"/><Relationship Id="rIdklcy0x0hev9uzr6kofur8" Type="http://schemas.openxmlformats.org/officeDocument/2006/relationships/hyperlink" Target="https://dalil.kg/document/202913" TargetMode="External"/><Relationship Id="rId_vfk1hd7nbybyhjkjl_zj" Type="http://schemas.openxmlformats.org/officeDocument/2006/relationships/hyperlink" Target="https://dalil.kg/document/202498" TargetMode="External"/><Relationship Id="rIdrcadcmqgh1__rv1vqvh0v" Type="http://schemas.openxmlformats.org/officeDocument/2006/relationships/hyperlink" Target="https://dalil.kg/document/202498" TargetMode="External"/><Relationship Id="rIdblxnnmtekhdxuilqvcqv-" Type="http://schemas.openxmlformats.org/officeDocument/2006/relationships/hyperlink" Target="https://dalil.kg/document/9635" TargetMode="External"/><Relationship Id="rIdjioxtvoqhtktzuixvrqzz" Type="http://schemas.openxmlformats.org/officeDocument/2006/relationships/hyperlink" Target="https://dalil.kg/document/202498" TargetMode="External"/><Relationship Id="rIdj946lv9sz-cgts2zjodrd" Type="http://schemas.openxmlformats.org/officeDocument/2006/relationships/hyperlink" Target="https://dalil.kg/document/202913" TargetMode="External"/><Relationship Id="rId9kjjqxuadxlut9td10az4" Type="http://schemas.openxmlformats.org/officeDocument/2006/relationships/hyperlink" Target="https://dalil.kg/document/202498" TargetMode="External"/><Relationship Id="rId9yxp36dj86cqto8vxs4k9" Type="http://schemas.openxmlformats.org/officeDocument/2006/relationships/hyperlink" Target="https://dalil.kg/document/202498" TargetMode="External"/><Relationship Id="rIdxk0gakeerih7gsa3fenjw" Type="http://schemas.openxmlformats.org/officeDocument/2006/relationships/hyperlink" Target="https://dalil.kg/document/202913" TargetMode="External"/><Relationship Id="rIdg-3csnmbaxnhlidl362c8" Type="http://schemas.openxmlformats.org/officeDocument/2006/relationships/hyperlink" Target="https://dalil.kg/document/202913" TargetMode="External"/><Relationship Id="rIddfoqvswf1go5q3hoy3d3m" Type="http://schemas.openxmlformats.org/officeDocument/2006/relationships/hyperlink" Target="https://dalil.kg/document/202913" TargetMode="External"/><Relationship Id="rIdnjyhtri08parh3chtrzid" Type="http://schemas.openxmlformats.org/officeDocument/2006/relationships/hyperlink" Target="https://dalil.kg/document/772" TargetMode="External"/><Relationship Id="rIdcpkvk7t7xhoe6kpdp3w4t" Type="http://schemas.openxmlformats.org/officeDocument/2006/relationships/hyperlink" Target="https://dalil.kg/document/202913" TargetMode="External"/><Relationship Id="rIdzbpv8xr5tcjp4qqrxikkx" Type="http://schemas.openxmlformats.org/officeDocument/2006/relationships/hyperlink" Target="https://dalil.kg/document/1168" TargetMode="External"/><Relationship Id="rIdch9ijv1uo4tlc2eufeh5v" Type="http://schemas.openxmlformats.org/officeDocument/2006/relationships/hyperlink" Target="https://dalil.kg/document/202498" TargetMode="External"/><Relationship Id="rIdqmc7gufrqba7pgbalurkx" Type="http://schemas.openxmlformats.org/officeDocument/2006/relationships/hyperlink" Target="https://dalil.kg/document/202498" TargetMode="External"/><Relationship Id="rIdbrwbptkwjsfk6tbeqgjsi" Type="http://schemas.openxmlformats.org/officeDocument/2006/relationships/hyperlink" Target="https://dalil.kg/document/202498" TargetMode="External"/><Relationship Id="rIdpuurxma5qnmxojcwfp3ed" Type="http://schemas.openxmlformats.org/officeDocument/2006/relationships/hyperlink" Target="https://dalil.kg/document/202498" TargetMode="External"/><Relationship Id="rIdahlhydnkh_mqwuggvyef6" Type="http://schemas.openxmlformats.org/officeDocument/2006/relationships/hyperlink" Target="https://dalil.kg/document/202498" TargetMode="External"/><Relationship Id="rIduesalqyfajxpdmwg5a33t" Type="http://schemas.openxmlformats.org/officeDocument/2006/relationships/hyperlink" Target="https://dalil.kg/document/1748" TargetMode="External"/><Relationship Id="rIdjoekqhigq1erqac7stpgr" Type="http://schemas.openxmlformats.org/officeDocument/2006/relationships/hyperlink" Target="https://dalil.kg/document/202498" TargetMode="External"/><Relationship Id="rIda29iprbkfxrafuek7zfle" Type="http://schemas.openxmlformats.org/officeDocument/2006/relationships/hyperlink" Target="https://dalil.kg/document/202498" TargetMode="External"/><Relationship Id="rIdb6rfiprb13qcmdhr2utzy" Type="http://schemas.openxmlformats.org/officeDocument/2006/relationships/hyperlink" Target="https://dalil.kg/document/203281" TargetMode="External"/><Relationship Id="rIduco_rvc82bfb-5mcc8gse" Type="http://schemas.openxmlformats.org/officeDocument/2006/relationships/hyperlink" Target="https://dalil.kg/document/202498" TargetMode="External"/><Relationship Id="rIdru1fguq98pg_d3aow9gad" Type="http://schemas.openxmlformats.org/officeDocument/2006/relationships/hyperlink" Target="https://dalil.kg/document/202498#st_12" TargetMode="External"/><Relationship Id="rIdxrgotz93tumz1m4u4agge" Type="http://schemas.openxmlformats.org/officeDocument/2006/relationships/hyperlink" Target="https://dalil.kg/document/202498#st_13" TargetMode="External"/><Relationship Id="rIdkialo_qxcehkncpwjxsri" Type="http://schemas.openxmlformats.org/officeDocument/2006/relationships/hyperlink" Target="https://dalil.kg/document/202498" TargetMode="External"/><Relationship Id="rId-x0bumo0w1ty6urrywg1k" Type="http://schemas.openxmlformats.org/officeDocument/2006/relationships/hyperlink" Target="https://dalil.kg/document/202913" TargetMode="External"/><Relationship Id="rIdgv4oolvgenugpbxnpjg96" Type="http://schemas.openxmlformats.org/officeDocument/2006/relationships/hyperlink" Target="https://dalil.kg/document/202913" TargetMode="External"/><Relationship Id="rIdktbidzkzj2guxvxwe7mfz" Type="http://schemas.openxmlformats.org/officeDocument/2006/relationships/hyperlink" Target="https://dalil.kg/document/9635" TargetMode="External"/><Relationship Id="rIdoqgvsmsuur2tm4hdifz3x" Type="http://schemas.openxmlformats.org/officeDocument/2006/relationships/hyperlink" Target="https://dalil.kg/document/202913" TargetMode="External"/><Relationship Id="rIdxnimcglwp0lenyk3zagib" Type="http://schemas.openxmlformats.org/officeDocument/2006/relationships/hyperlink" Target="https://dalil.kg/document/202498" TargetMode="External"/><Relationship Id="rId-cd5mul06y0zw9grvdj5c" Type="http://schemas.openxmlformats.org/officeDocument/2006/relationships/hyperlink" Target="https://dalil.kg/document/202498" TargetMode="External"/><Relationship Id="rIdvvnqmisccow9ds5zempz_" Type="http://schemas.openxmlformats.org/officeDocument/2006/relationships/hyperlink" Target="https://dalil.kg/document/9635" TargetMode="External"/><Relationship Id="rIdjw5orpd8gup0wpugt6yj5" Type="http://schemas.openxmlformats.org/officeDocument/2006/relationships/hyperlink" Target="https://dalil.kg/document/203102" TargetMode="External"/><Relationship Id="rIds5hoshtnnfufwif-ildsz" Type="http://schemas.openxmlformats.org/officeDocument/2006/relationships/hyperlink" Target="https://dalil.kg/document/203102" TargetMode="External"/><Relationship Id="rId8_hrb30fkj90nrcdfqgrl" Type="http://schemas.openxmlformats.org/officeDocument/2006/relationships/hyperlink" Target="https://dalil.kg/document/202498" TargetMode="External"/><Relationship Id="rIdrsxky5i5gcopoeegfk-vu" Type="http://schemas.openxmlformats.org/officeDocument/2006/relationships/hyperlink" Target="https://dalil.kg/document/202913" TargetMode="External"/><Relationship Id="rIdaqye7lu5tzt8s7hsgwdjo" Type="http://schemas.openxmlformats.org/officeDocument/2006/relationships/hyperlink" Target="https://dalil.kg/document/202498" TargetMode="External"/><Relationship Id="rIdtkxcpat5le_qt-svxe-nz" Type="http://schemas.openxmlformats.org/officeDocument/2006/relationships/hyperlink" Target="https://dalil.kg/document/202913" TargetMode="External"/><Relationship Id="rIdhulzgldoo9cmw-ma1nqgv" Type="http://schemas.openxmlformats.org/officeDocument/2006/relationships/hyperlink" Target="https://dalil.kg/document/202913" TargetMode="External"/><Relationship Id="rIdi6ndbpzjxlut6lcd5ud5m" Type="http://schemas.openxmlformats.org/officeDocument/2006/relationships/hyperlink" Target="https://dalil.kg/document/203281" TargetMode="External"/><Relationship Id="rIdrr2llnl1bzkjewfjdpnjj" Type="http://schemas.openxmlformats.org/officeDocument/2006/relationships/hyperlink" Target="https://dalil.kg/document/202498" TargetMode="External"/><Relationship Id="rId1cquaciy_x4ehvqlxblg0"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gurgrx94rq0_94cshww" Type="http://schemas.openxmlformats.org/officeDocument/2006/relationships/hyperlink" Target="https://dalil.kg/document/9783" TargetMode="External"/><Relationship Id="rId1foduv07ycicj-rd-vg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2026-09-24T08:14:02.934Z</dcterms:created>
  <dcterms:modified xsi:type="dcterms:W3CDTF">2026-09-24T08:14:02.934Z</dcterms:modified>
</cp:coreProperties>
</file>

<file path=docProps/custom.xml><?xml version="1.0" encoding="utf-8"?>
<Properties xmlns="http://schemas.openxmlformats.org/officeDocument/2006/custom-properties" xmlns:vt="http://schemas.openxmlformats.org/officeDocument/2006/docPropsVTypes"/>
</file>