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0suxa7so6ambhxfvyvhb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27 сентября 2021 года № 185</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6 ноября 2015 года № 760</w:t>
      </w:r>
    </w:p>
    <w:p>
      <w:pPr>
        <w:spacing w:after="480" w:before="200"/>
        <w:jc w:val="center"/>
      </w:pPr>
      <w:r>
        <w:rPr>
          <w:rFonts w:ascii="Arial" w:cs="Arial" w:eastAsia="Arial" w:hAnsi="Arial"/>
          <w:b/>
          <w:bCs/>
          <w:sz w:val="28"/>
          <w:szCs w:val="28"/>
        </w:rPr>
        <w:t xml:space="preserve">Об утверждении Порядка уплаты, исчисления платежа и ставок платежей за удержание лицензий на право пользования недрами</w:t>
      </w:r>
    </w:p>
    <w:p>
      <w:pPr>
        <w:spacing w:after="120"/>
        <w:ind w:firstLine="397"/>
        <w:jc w:val="both"/>
      </w:pPr>
      <w:r>
        <w:rPr>
          <w:rFonts w:ascii="Arial" w:cs="Arial" w:eastAsia="Arial" w:hAnsi="Arial"/>
          <w:sz w:val="24"/>
          <w:szCs w:val="24"/>
        </w:rPr>
        <w:t xml:space="preserve">В целях совершенствования правового регулирования недропользования, в соответствии со статьей 49 </w:t>
      </w:r>
      <w:hyperlink w:history="1" r:id="rIdpdfr_pjm-0fdmeryzjja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статьей 19-2 </w:t>
      </w:r>
      <w:hyperlink w:history="1" r:id="rIditipphot-ceoqytczqi4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неналоговых платежах", статьями 10 и 17 </w:t>
      </w:r>
      <w:hyperlink w:history="1" r:id="rIdsvsf-sybsmpizsakue7vi">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w:t>
      </w:r>
    </w:p>
    <w:p>
      <w:pPr>
        <w:spacing w:after="120"/>
        <w:ind w:firstLine="397"/>
        <w:jc w:val="both"/>
      </w:pPr>
      <w:r>
        <w:rPr>
          <w:rFonts w:ascii="Arial" w:cs="Arial" w:eastAsia="Arial" w:hAnsi="Arial"/>
          <w:sz w:val="24"/>
          <w:szCs w:val="24"/>
        </w:rPr>
        <w:t xml:space="preserve">- </w:t>
      </w:r>
      <w:hyperlink w:history="1" r:id="rIdrnpjxeihcwuntibnho9ck">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уплаты и исчисления платежа за удержание лицензий на право пользования недрами согласно приложению 1;</w:t>
      </w:r>
    </w:p>
    <w:p>
      <w:pPr>
        <w:spacing w:after="120"/>
        <w:ind w:firstLine="397"/>
        <w:jc w:val="both"/>
      </w:pPr>
      <w:r>
        <w:rPr>
          <w:rFonts w:ascii="Arial" w:cs="Arial" w:eastAsia="Arial" w:hAnsi="Arial"/>
          <w:sz w:val="24"/>
          <w:szCs w:val="24"/>
        </w:rPr>
        <w:t xml:space="preserve">- ставки платежа за удержание лицензий на право пользования недрами при поиске полезных ископаемых согласно </w:t>
      </w:r>
      <w:hyperlink w:history="1" r:id="rIdy5f-6xjhogrfa-pj1bwit">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ставки платежа за удержание лицензий на право пользования недрами при разведке полезных ископаемых согласно </w:t>
      </w:r>
      <w:hyperlink w:history="1" r:id="rIdivbztznjblcntuqwqdyir">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ставки платежа за удержание лицензий на право пользования недрами при разработке полезных ископаемых согласно </w:t>
      </w:r>
      <w:hyperlink w:history="1" r:id="rId25gh2szpfb-n_kxmpheej">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Владельцы лицензий на право пользования недрами, в отношении которых наступили обстоятельства непреодолимой силы (форс-мажор) до вступления в силу настоящего постановления, обязаны в течение трех месяцев со дня вступления в силу настоящего постановления уведомить о таких обстоятельствах уполномоченный орган по реализации государственной политики по недропользованию.</w:t>
      </w:r>
    </w:p>
    <w:p>
      <w:pPr>
        <w:spacing w:after="120"/>
        <w:ind w:firstLine="397"/>
        <w:jc w:val="both"/>
      </w:pPr>
      <w:r>
        <w:rPr>
          <w:rFonts w:ascii="Arial" w:cs="Arial" w:eastAsia="Arial" w:hAnsi="Arial"/>
          <w:sz w:val="24"/>
          <w:szCs w:val="24"/>
        </w:rPr>
        <w:t xml:space="preserve">3. Признать утратившим силу абзац пятый пункта 1 </w:t>
      </w:r>
      <w:hyperlink w:history="1" r:id="rId4dlhp5wwi9erajfvwyen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 нормативных правовых актов в сфере недропользования" от 14 декабря 2012 года № 834.</w:t>
      </w:r>
    </w:p>
    <w:p>
      <w:pPr>
        <w:spacing w:after="120"/>
        <w:ind w:firstLine="39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ind w:firstLine="39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СТАВКА ПЛАТЕЖА
 за удержание лицензий на право пользования недрами при поиске полезных ископаемых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17"/>
        <w:gridCol w:w="863"/>
        <w:gridCol w:w="857"/>
        <w:gridCol w:w="857"/>
        <w:gridCol w:w="857"/>
        <w:gridCol w:w="857"/>
        <w:gridCol w:w="1571"/>
      </w:tblGrid>
      <w:tr>
        <w:tc>
          <w:tcPr>
            <w:tcW w:type="dxa" w:w="43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полезных ископаемых</w:t>
            </w:r>
          </w:p>
        </w:tc>
        <w:tc>
          <w:tcPr>
            <w:tcW w:type="dxa" w:w="8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1-й год, ПУЛ за 1 кв.км МРП</w:t>
            </w:r>
          </w:p>
        </w:tc>
        <w:tc>
          <w:tcPr>
            <w:tcW w:type="dxa" w:w="8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2-й год, ПУЛ за 1 кв.км МРП</w:t>
            </w:r>
          </w:p>
        </w:tc>
        <w:tc>
          <w:tcPr>
            <w:tcW w:type="dxa" w:w="8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3-й год, ПУЛ за 1 кв.км МРП</w:t>
            </w:r>
          </w:p>
        </w:tc>
        <w:tc>
          <w:tcPr>
            <w:tcW w:type="dxa" w:w="8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4-й год, ПУЛ за 1 кв.км МРП</w:t>
            </w:r>
          </w:p>
        </w:tc>
        <w:tc>
          <w:tcPr>
            <w:tcW w:type="dxa" w:w="8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5-й год, ПУЛ за 1 кв.км МРП</w:t>
            </w:r>
          </w:p>
        </w:tc>
        <w:tc>
          <w:tcPr>
            <w:tcW w:type="dxa" w:w="15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6-й год, ПУЛ за каждый последующий год плата увеличивается на 50%</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Металлические ископаемые:</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(железо, марганец, хром, титан, ванадий), цветные металлы (алюминий, рубидий, медь, никель, кобальт, свинец, цинк), редкие металлы (олово, вольфрам, мышьяк, молибден, бериллий, висмут, ртуть, сурьма, стронций)</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Уран, торий и радиоактивное сырье</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Неметаллические ископаемые:</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Стекольное, керамическое, огнеупорное сырье (фарфоровый камень, кварц-полевошпатовые породы, каолин, глина гончарная, глина и суглинки кирпичные, кварцевые пески, песчаники, кварцит, тальк, пирофиллит, волластонит, известняк), абразивное сырье (корунд, наждак, точильный камень, трепел), соли и рассолы (каменная соль, сульфат натрия)</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Агрохимическое сырье (кормовая соль, агроруда, апатиты, фосфориты, селитра, глаукониты, сера самородная, торф), химическое сырье (барит, бор, серный колчедан), нерудное сырье для металлургии (серпентинит, магнезит, кремнеземное сырье, андалузит, флюорит флюсовый, известняки флюсовые, доломит)</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Строительные материалы:</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Бутовый и стеновой камень (песчаники и конгломераты, мрамор, известняки, доломиты, роговики), камень облицовочный (мрамор, известняк-ракушечник, доломит-известняк, гранит, магматические породы, роговики), сырье для извести и цемента (известняк для извести, известняк и доломиты для цемента, мергели,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вулканиты, гранодиорит, ангидрит, валуны и глыбы гранитоидов, мраморизованный известняк, базальт</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Горючие ископаемые:</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43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8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ПУЛ - платеж за удержание лицензии.</w:t>
      </w:r>
    </w:p>
    <w:p>
      <w:pPr>
        <w:spacing w:after="60"/>
        <w:ind w:firstLine="567"/>
        <w:jc w:val="both"/>
      </w:pPr>
      <w:r>
        <w:rPr>
          <w:rFonts w:ascii="Arial" w:cs="Arial" w:eastAsia="Arial" w:hAnsi="Arial"/>
          <w:sz w:val="24"/>
          <w:szCs w:val="24"/>
        </w:rPr>
        <w:t xml:space="preserve">2) МРП - минимальный расчетный показатель.</w:t>
      </w:r>
    </w:p>
    <w:p>
      <w:pPr>
        <w:spacing w:after="60"/>
        <w:ind w:firstLine="567"/>
        <w:jc w:val="both"/>
      </w:pPr>
      <w:r>
        <w:rPr>
          <w:rFonts w:ascii="Arial" w:cs="Arial" w:eastAsia="Arial" w:hAnsi="Arial"/>
          <w:sz w:val="24"/>
          <w:szCs w:val="24"/>
        </w:rPr>
        <w:t xml:space="preserve">3) Размер ставки платежа, уплачиваемого при поиске полезных ископаемых, на каждый год, следующий за пятым годом, увеличивается на 50 процентов.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СТАВКА ПЛАТЕЖА
 за удержание лицензий на право пользования недрами при разведке полезных ископаемых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13"/>
        <w:gridCol w:w="623"/>
        <w:gridCol w:w="621"/>
        <w:gridCol w:w="621"/>
        <w:gridCol w:w="621"/>
        <w:gridCol w:w="621"/>
        <w:gridCol w:w="621"/>
        <w:gridCol w:w="621"/>
        <w:gridCol w:w="621"/>
        <w:gridCol w:w="621"/>
        <w:gridCol w:w="1374"/>
      </w:tblGrid>
      <w:tr>
        <w:tc>
          <w:tcPr>
            <w:tcW w:type="dxa" w:w="32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полезных ископаемых</w:t>
            </w:r>
          </w:p>
        </w:tc>
        <w:tc>
          <w:tcPr>
            <w:tcW w:type="dxa" w:w="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1-й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2-й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3-й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4-й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5-й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6-й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7-й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8-й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9-й год, ПУЛ за 1 га МРП</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10-й и последующие годы, ПУЛ за 1 га МРП</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Металлические ископаемые:</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(железо, марганец, хром, титан, ванадий), цветные металлы (алюминий, рубидий, медь, никель, кобальт, свинец, цинк) и редкие металлы (олово, вольфрам, мышьяк, молибден, бериллий, висмут, ртуть, сурьма, стронций)</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Уран, торий и радиоактивное сырье</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Неметаллические ископаемые:</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Стекольное, керамическое, огнеупорное сырье (фарфоровый камень, кварц-полевошпатовые породы, каолин, глины гончарные, глина и суглинки кирпичные, кварцевые пески, песчаники, кварциты, тальк, пирофиллит, волластонит, известняк), абразивное сырье (корунд, наждак, точильный камень, трепел), соли и рассолы (каменная соль, сульфат натрия), агрохимическое сырье (кормовая соль, глауконит, агроруда)</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Строительные материалы:</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Бутовый и стеновой камень (песчаники и конгломераты, мрамор, известняк, доломит, роговик), камень облицовочный</w:t>
            </w:r>
          </w:p>
          <w:p>
            <w:pPr>
              <w:jc w:val="left"/>
            </w:pPr>
            <w:r>
              <w:rPr>
                <w:rFonts w:ascii="Arial" w:cs="Arial" w:eastAsia="Arial" w:hAnsi="Arial"/>
                <w:sz w:val="24"/>
                <w:szCs w:val="24"/>
              </w:rPr>
              <w:t xml:space="preserve">(мрамор, известняк-ракушечник, доломит-известняк, гранит, магматические породы, роговик) сырье для извести и цемента (известняк для извести, известняк и доломит для цемента, мергель,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 гранодиорит, ангидрит, валуны и глыбы гранитоидов, мраморизованный известняк, базальт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Горючие ископаемые:</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ПУЛ - платеж за удержание лицензии.</w:t>
      </w:r>
    </w:p>
    <w:p>
      <w:pPr>
        <w:spacing w:after="60"/>
        <w:ind w:firstLine="567"/>
        <w:jc w:val="both"/>
      </w:pPr>
      <w:r>
        <w:rPr>
          <w:rFonts w:ascii="Arial" w:cs="Arial" w:eastAsia="Arial" w:hAnsi="Arial"/>
          <w:sz w:val="24"/>
          <w:szCs w:val="24"/>
        </w:rPr>
        <w:t xml:space="preserve">2) МРП - минимальный расчетный показатель.</w:t>
      </w:r>
    </w:p>
    <w:p>
      <w:pPr>
        <w:spacing w:after="60"/>
        <w:ind w:firstLine="567"/>
        <w:jc w:val="both"/>
      </w:pPr>
      <w:r>
        <w:rPr>
          <w:rFonts w:ascii="Arial" w:cs="Arial" w:eastAsia="Arial" w:hAnsi="Arial"/>
          <w:sz w:val="24"/>
          <w:szCs w:val="24"/>
        </w:rPr>
        <w:t xml:space="preserve">3) Размер ставки платежа, уплачиваемого при разведке полезных ископаемых, на каждый год, следующий за десятым годом, устанавливается по ставкам за 10-й год.</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СТАВКА ПЛАТЕЖА
 за удержание лицензий на право пользования недрами при разработке полезных ископаемых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13"/>
        <w:gridCol w:w="623"/>
        <w:gridCol w:w="621"/>
        <w:gridCol w:w="621"/>
        <w:gridCol w:w="621"/>
        <w:gridCol w:w="621"/>
        <w:gridCol w:w="621"/>
        <w:gridCol w:w="621"/>
        <w:gridCol w:w="621"/>
        <w:gridCol w:w="621"/>
        <w:gridCol w:w="1374"/>
      </w:tblGrid>
      <w:tr>
        <w:tc>
          <w:tcPr>
            <w:tcW w:type="dxa" w:w="32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полезных ископаемых</w:t>
            </w:r>
          </w:p>
        </w:tc>
        <w:tc>
          <w:tcPr>
            <w:tcW w:type="dxa" w:w="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1-й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2-й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3-й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4-й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5-й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6-й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7-й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8-й год, ПУЛ за 1 га МРП</w:t>
            </w:r>
          </w:p>
        </w:tc>
        <w:tc>
          <w:tcPr>
            <w:tcW w:type="dxa" w:w="6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9-й год, ПУЛ за 1 га МРП</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10-й и последующие годы, ПУЛ за 1 га МРП</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Металлические ископаемые:</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Благородные металлы (золото, серебро, платиноиды)</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Редкоземельные и рассеянные элементы (редкие земли, тантал, ниобий, гафний, цирконий, цезий, литий)</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(железо, марганец, хром, титан, ванадий), цветные металлы (алюминий, рубидий, медь, никель, кобальт, свинец, цинк) и редкие металлы (олово, вольфрам, мышьяк, молибден, бериллий, висмут, ртуть, сурьма, стронций)</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Уран, торий и радиоактивное сырье</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Россыпные месторождения (золото)</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Неметаллические ископаемые:</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Драгоценные, полудрагоценные, ювелирные и поделочные камни (окаменелое дерево, мраморный оникс, альмандин), пьезооптический и оптический материалы (исландский шпат, флюорит оптический, кварц пьезооптический)</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Стекольное, керамическое, огнеупорное сырье (фарфоровый камень, кварц-полевошпатовые породы, каолин, глина гончарная, глина и суглинки кирпичные, кварцевые пески, песчаники, кварциты, тальк, пирофиллит, волластонит, известняк), абразивное сырье (корунд, наждак, точильный камень, трепел), соли и рассолы (каменная соль, сульфат натрия), агрохимическое сырье (кормовая соль, глауконит, агроруда)</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Строительные материалы:</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Бутовый и стеновой камень (песчаники и конгломераты, мрамор, известняк, доломиты, роговики), камень облицовочный (мрамор, известняк-ракушечник, доломит-известняк, граниты, магматические породы, роговик), сырье для извести и цемента (известняк для извести, известняк и доломит для цемента, мергель, глина и суглинки, активные добавки в цемент, гипс), глинистые сланцы, сланцы, вулканомиктовый конгломерат, туфоалевролит, жильный кварц, граносиенит, глиеж, бутовый камень, строительный камень, вулканит, гранодиорит, ангидрит, валуны и глыбы гранитоидов, мраморизованный известняк, базальт</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Сырье для бетона и строительного раствора (песчано-гравийная смесь, песок строительный, кислые эффузивы, сырье для производства керамзита и аглопорита) прочие неметаллические ископаемые (петролургическое сырье, озокерит, слюда, высококремнистое сырье, глина бентонитовая, асбест, графит, гипс)</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Горючие ископаемые:</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3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газ</w:t>
            </w:r>
          </w:p>
        </w:tc>
        <w:tc>
          <w:tcPr>
            <w:tcW w:type="dxa" w:w="6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ПУЛ - платеж за удержание лицензии.</w:t>
      </w:r>
    </w:p>
    <w:p>
      <w:pPr>
        <w:spacing w:after="60"/>
        <w:ind w:firstLine="567"/>
        <w:jc w:val="both"/>
      </w:pPr>
      <w:r>
        <w:rPr>
          <w:rFonts w:ascii="Arial" w:cs="Arial" w:eastAsia="Arial" w:hAnsi="Arial"/>
          <w:sz w:val="24"/>
          <w:szCs w:val="24"/>
        </w:rPr>
        <w:t xml:space="preserve">2) МРП - минимальный расчетный показатель.</w:t>
      </w:r>
    </w:p>
    <w:p>
      <w:pPr>
        <w:spacing w:after="60"/>
        <w:ind w:firstLine="567"/>
        <w:jc w:val="both"/>
      </w:pPr>
      <w:r>
        <w:rPr>
          <w:rFonts w:ascii="Arial" w:cs="Arial" w:eastAsia="Arial" w:hAnsi="Arial"/>
          <w:sz w:val="24"/>
          <w:szCs w:val="24"/>
        </w:rPr>
        <w:t xml:space="preserve">3) Размер ставки платежа, уплачиваемого при разработке полезных ископаемых, на каждый год, следующий за десятым годом, устанавливается по ставкам за 10-й год.</w:t>
      </w:r>
    </w:p>
    <w:p>
      <w:pPr>
        <w:spacing w:after="120"/>
        <w:ind w:firstLine="397"/>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0suxa7so6ambhxfvyvhbn" Type="http://schemas.openxmlformats.org/officeDocument/2006/relationships/hyperlink" Target="http://kodeks.duckdns.org/document/158582" TargetMode="External"/><Relationship Id="rIdpdfr_pjm-0fdmeryzjjaq" Type="http://schemas.openxmlformats.org/officeDocument/2006/relationships/hyperlink" Target="http://kodeks.duckdns.org/document/203760" TargetMode="External"/><Relationship Id="rIditipphot-ceoqytczqi4i" Type="http://schemas.openxmlformats.org/officeDocument/2006/relationships/hyperlink" Target="http://kodeks.duckdns.org/document/741" TargetMode="External"/><Relationship Id="rIdsvsf-sybsmpizsakue7vi" Type="http://schemas.openxmlformats.org/officeDocument/2006/relationships/hyperlink" Target="http://kodeks.duckdns.org/document/203685" TargetMode="External"/><Relationship Id="rIdrnpjxeihcwuntibnho9ck" Type="http://schemas.openxmlformats.org/officeDocument/2006/relationships/hyperlink" Target="http://kodeks.duckdns.org/document/98155" TargetMode="External"/><Relationship Id="rIdy5f-6xjhogrfa-pj1bwit" Type="http://schemas.openxmlformats.org/officeDocument/2006/relationships/hyperlink" Target="http://kodeks.duckdns.org/document/98154#p2" TargetMode="External"/><Relationship Id="rIdivbztznjblcntuqwqdyir" Type="http://schemas.openxmlformats.org/officeDocument/2006/relationships/hyperlink" Target="http://kodeks.duckdns.org/document/98154#p3" TargetMode="External"/><Relationship Id="rId25gh2szpfb-n_kxmpheej" Type="http://schemas.openxmlformats.org/officeDocument/2006/relationships/hyperlink" Target="http://kodeks.duckdns.org/document/98154#p4" TargetMode="External"/><Relationship Id="rId4dlhp5wwi9erajfvwyens" Type="http://schemas.openxmlformats.org/officeDocument/2006/relationships/hyperlink" Target="http://kodeks.duckdns.org/document/93222" TargetMode="External"/><Relationship Id="rId7" Type="http://schemas.openxmlformats.org/officeDocument/2006/relationships/image" Target="media/93bec1c1538034512fe33c1434ae0ea86b639d33.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2026-09-23T06:46:12.301Z</dcterms:created>
  <dcterms:modified xsi:type="dcterms:W3CDTF">2026-09-23T06:46:12.301Z</dcterms:modified>
</cp:coreProperties>
</file>

<file path=docProps/custom.xml><?xml version="1.0" encoding="utf-8"?>
<Properties xmlns="http://schemas.openxmlformats.org/officeDocument/2006/custom-properties" xmlns:vt="http://schemas.openxmlformats.org/officeDocument/2006/docPropsVTypes"/>
</file>