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dquieabalsp4s-jjgf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ноября 2015 года № 778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в Закон Кыргызской Республики</w:t>
      </w:r>
    </w:p>
    <w:p>
      <w:pPr>
        <w:spacing w:after="120"/>
        <w:jc w:val="both"/>
      </w:pPr>
      <w:r>
        <w:rPr>
          <w:rFonts w:ascii="Arial" w:cs="Arial" w:eastAsia="Arial" w:hAnsi="Arial"/>
          <w:sz w:val="24"/>
          <w:szCs w:val="24"/>
        </w:rPr>
        <w:t xml:space="preserve">«О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igos6hwkv8hwlg10zubi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_8yy7as5eeihfmnkklh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в Закон Кыргызской Республики</w:t>
      </w:r>
    </w:p>
    <w:p>
      <w:pPr>
        <w:spacing w:after="120"/>
        <w:jc w:val="both"/>
      </w:pPr>
      <w:r>
        <w:rPr>
          <w:rFonts w:ascii="Arial" w:cs="Arial" w:eastAsia="Arial" w:hAnsi="Arial"/>
          <w:sz w:val="24"/>
          <w:szCs w:val="24"/>
        </w:rPr>
        <w:t xml:space="preserve">«О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выборах депутатов местных кенешей» (Ведомости Жогорку Кенеша Кыргызской Республики, 2011 г., № 7, ст. 1001) следующие изменения: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«документ, удостоверяющий личность избирателя - паспорт гражданина (ID-карта) или общегражданский паспорт гражданина Кыргызской Республики;»;</w:t>
      </w:r>
    </w:p>
    <w:p>
      <w:pPr>
        <w:spacing w:after="120"/>
        <w:jc w:val="both"/>
      </w:pPr>
      <w:r>
        <w:rPr>
          <w:rFonts w:ascii="Arial" w:cs="Arial" w:eastAsia="Arial" w:hAnsi="Arial"/>
          <w:sz w:val="24"/>
          <w:szCs w:val="24"/>
        </w:rPr>
        <w:t xml:space="preserve">- в абзаце двенадцатом слова «для досрочного голосования и» исключить;</w:t>
      </w:r>
    </w:p>
    <w:p>
      <w:pPr>
        <w:spacing w:after="120"/>
        <w:jc w:val="both"/>
      </w:pPr>
      <w:r>
        <w:rPr>
          <w:rFonts w:ascii="Arial" w:cs="Arial" w:eastAsia="Arial" w:hAnsi="Arial"/>
          <w:sz w:val="24"/>
          <w:szCs w:val="24"/>
        </w:rPr>
        <w:t xml:space="preserve">- в абзаце двадцать девятом слова «соответствующей избирательной комиссией» заменить словами «в электронном и бумажном видах»;</w:t>
      </w:r>
    </w:p>
    <w:p>
      <w:pPr>
        <w:spacing w:after="120"/>
        <w:jc w:val="both"/>
      </w:pPr>
      <w:r>
        <w:rPr>
          <w:rFonts w:ascii="Arial" w:cs="Arial" w:eastAsia="Arial" w:hAnsi="Arial"/>
          <w:sz w:val="24"/>
          <w:szCs w:val="24"/>
        </w:rPr>
        <w:t xml:space="preserve">- абзац тридцатый признать утратившим силу;</w:t>
      </w:r>
    </w:p>
    <w:p>
      <w:pPr>
        <w:spacing w:after="120"/>
        <w:jc w:val="both"/>
      </w:pPr>
      <w:r>
        <w:rPr>
          <w:rFonts w:ascii="Arial" w:cs="Arial" w:eastAsia="Arial" w:hAnsi="Arial"/>
          <w:sz w:val="24"/>
          <w:szCs w:val="24"/>
        </w:rPr>
        <w:t xml:space="preserve">- статью дополнить абзацами тридцать четвертым - сорок вторым следующего содержания:</w:t>
      </w:r>
    </w:p>
    <w:p>
      <w:pPr>
        <w:spacing w:after="120"/>
        <w:jc w:val="both"/>
      </w:pPr>
      <w:r>
        <w:rPr>
          <w:rFonts w:ascii="Arial" w:cs="Arial" w:eastAsia="Arial" w:hAnsi="Arial"/>
          <w:sz w:val="24"/>
          <w:szCs w:val="24"/>
        </w:rPr>
        <w:t xml:space="preserve">«оператор - специалист уполномоченного государственного органа в сфере регистрации населения, предоставляющий технические услуги на избирательном участке в день голосования;</w:t>
      </w:r>
    </w:p>
    <w:p>
      <w:pPr>
        <w:spacing w:after="120"/>
        <w:jc w:val="both"/>
      </w:pPr>
      <w:r>
        <w:rPr>
          <w:rFonts w:ascii="Arial" w:cs="Arial" w:eastAsia="Arial" w:hAnsi="Arial"/>
          <w:sz w:val="24"/>
          <w:szCs w:val="24"/>
        </w:rPr>
        <w:t xml:space="preserve">термопринтер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120"/>
        <w:jc w:val="both"/>
      </w:pPr>
      <w:r>
        <w:rPr>
          <w:rFonts w:ascii="Arial" w:cs="Arial" w:eastAsia="Arial" w:hAnsi="Arial"/>
          <w:sz w:val="24"/>
          <w:szCs w:val="24"/>
        </w:rPr>
        <w:t xml:space="preserve">ящики для голосования - автоматически считывающие урны или стационарные ящики;</w:t>
      </w:r>
    </w:p>
    <w:p>
      <w:pPr>
        <w:spacing w:after="120"/>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w:t>
      </w:r>
    </w:p>
    <w:p>
      <w:pPr>
        <w:spacing w:after="120"/>
        <w:jc w:val="both"/>
      </w:pPr>
      <w:r>
        <w:rPr>
          <w:rFonts w:ascii="Arial" w:cs="Arial" w:eastAsia="Arial" w:hAnsi="Arial"/>
          <w:sz w:val="24"/>
          <w:szCs w:val="24"/>
        </w:rPr>
        <w:t xml:space="preserve">стационарный ящик - прозрачная урна для голосования;</w:t>
      </w:r>
    </w:p>
    <w:p>
      <w:pPr>
        <w:spacing w:after="120"/>
        <w:jc w:val="both"/>
      </w:pPr>
      <w:r>
        <w:rPr>
          <w:rFonts w:ascii="Arial" w:cs="Arial" w:eastAsia="Arial" w:hAnsi="Arial"/>
          <w:sz w:val="24"/>
          <w:szCs w:val="24"/>
        </w:rPr>
        <w:t xml:space="preserve">переносной ящик для голосования - ящик, предназначенный для проведения голосования избирателя вне помещения;</w:t>
      </w:r>
    </w:p>
    <w:p>
      <w:pPr>
        <w:spacing w:after="120"/>
        <w:jc w:val="both"/>
      </w:pPr>
      <w:r>
        <w:rPr>
          <w:rFonts w:ascii="Arial" w:cs="Arial" w:eastAsia="Arial" w:hAnsi="Arial"/>
          <w:sz w:val="24"/>
          <w:szCs w:val="24"/>
        </w:rPr>
        <w:t xml:space="preserve">сбой - утрата работоспособности автоматически считывающей урны;</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чек - физический носитель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120"/>
        <w:jc w:val="both"/>
      </w:pPr>
      <w:r>
        <w:rPr>
          <w:rFonts w:ascii="Arial" w:cs="Arial" w:eastAsia="Arial" w:hAnsi="Arial"/>
          <w:sz w:val="24"/>
          <w:szCs w:val="24"/>
        </w:rPr>
        <w:t xml:space="preserve">2) Статьи 12 и 13 изложить в следующей редакции:</w:t>
      </w:r>
    </w:p>
    <w:p>
      <w:pPr>
        <w:spacing w:after="120"/>
        <w:jc w:val="both"/>
      </w:pPr>
      <w:r>
        <w:rPr>
          <w:rFonts w:ascii="Arial" w:cs="Arial" w:eastAsia="Arial" w:hAnsi="Arial"/>
          <w:sz w:val="24"/>
          <w:szCs w:val="24"/>
        </w:rPr>
        <w:t xml:space="preserve">«Статья 12. Списки избирателей на выборах депутатов местных кенешей</w:t>
      </w:r>
    </w:p>
    <w:p>
      <w:pPr>
        <w:spacing w:after="120"/>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В список избирателей включаются все граждане Кыргызской Республики, обладающие на день голосования активным избирательным правом и прошедшие биометрическую регистрацию в порядке, установленном законодательством.</w:t>
      </w:r>
    </w:p>
    <w:p>
      <w:pPr>
        <w:spacing w:after="120"/>
        <w:jc w:val="both"/>
      </w:pPr>
      <w:r>
        <w:rPr>
          <w:rFonts w:ascii="Arial" w:cs="Arial" w:eastAsia="Arial" w:hAnsi="Arial"/>
          <w:sz w:val="24"/>
          <w:szCs w:val="24"/>
        </w:rPr>
        <w:t xml:space="preserve">2. Составление списка избирателей производится на основе персональных и биометрических данных, содержащихся в Едином государственном реестре населения, с учетом границ избирательных участков.</w:t>
      </w:r>
    </w:p>
    <w:p>
      <w:pPr>
        <w:spacing w:after="120"/>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120"/>
        <w:jc w:val="both"/>
      </w:pPr>
      <w:r>
        <w:rPr>
          <w:rFonts w:ascii="Arial" w:cs="Arial" w:eastAsia="Arial" w:hAnsi="Arial"/>
          <w:sz w:val="24"/>
          <w:szCs w:val="24"/>
        </w:rPr>
        <w:t xml:space="preserve">3. При формировании списка избирателей на выборах депутатов местных кенешей уполномоченный государственный орган исключает из списка избирателей, сформированного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лиц, указанных в частях 7, 8 статьи 3 настоящего Закона.</w:t>
      </w:r>
    </w:p>
    <w:p>
      <w:pPr>
        <w:spacing w:after="120"/>
        <w:jc w:val="both"/>
      </w:pPr>
      <w:r>
        <w:rPr>
          <w:rFonts w:ascii="Arial" w:cs="Arial" w:eastAsia="Arial" w:hAnsi="Arial"/>
          <w:sz w:val="24"/>
          <w:szCs w:val="24"/>
        </w:rPr>
        <w:t xml:space="preserve">4. Список избирателей составляется уполномоченным государственным органом на основе сведений избирателей - их биометрических и персональных данных с использованием системы учета избирателей.</w:t>
      </w:r>
    </w:p>
    <w:p>
      <w:pPr>
        <w:spacing w:after="120"/>
        <w:jc w:val="both"/>
      </w:pPr>
      <w:r>
        <w:rPr>
          <w:rFonts w:ascii="Arial" w:cs="Arial" w:eastAsia="Arial" w:hAnsi="Arial"/>
          <w:sz w:val="24"/>
          <w:szCs w:val="24"/>
        </w:rPr>
        <w:t xml:space="preserve">5. Списки избирателей, представленные в участковые избирательные комиссии, одновременно обобщаются Центральной избирательной комиссией в разрезе участков,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либо фактического проживания и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jc w:val="both"/>
      </w:pPr>
      <w:r>
        <w:rPr>
          <w:rFonts w:ascii="Arial" w:cs="Arial" w:eastAsia="Arial" w:hAnsi="Arial"/>
          <w:sz w:val="24"/>
          <w:szCs w:val="24"/>
        </w:rPr>
        <w:t xml:space="preserve">Список избирателей, размещенный на официальных сайтах уполномоченного государственного органа и Центральной избирательной комиссии, подлежит постоянному обновлению по мере поступления информации.</w:t>
      </w:r>
    </w:p>
    <w:p>
      <w:pPr>
        <w:spacing w:after="120"/>
        <w:jc w:val="both"/>
      </w:pPr>
      <w:r>
        <w:rPr>
          <w:rFonts w:ascii="Arial" w:cs="Arial" w:eastAsia="Arial" w:hAnsi="Arial"/>
          <w:sz w:val="24"/>
          <w:szCs w:val="24"/>
        </w:rPr>
        <w:t xml:space="preserve">Статья 13. Ознакомление со списками избирателей</w:t>
      </w:r>
    </w:p>
    <w:p>
      <w:pPr>
        <w:spacing w:after="120"/>
        <w:jc w:val="both"/>
      </w:pPr>
      <w:r>
        <w:rPr>
          <w:rFonts w:ascii="Arial" w:cs="Arial" w:eastAsia="Arial" w:hAnsi="Arial"/>
          <w:sz w:val="24"/>
          <w:szCs w:val="24"/>
        </w:rPr>
        <w:t xml:space="preserve">1. Участковая избирательная комиссия обязана вывесить список избирателей для ознакомления избирателями, проживающими на территории соответствующего избирательного участка, за 45 календарных дней до дня голосования.</w:t>
      </w:r>
    </w:p>
    <w:p>
      <w:pPr>
        <w:spacing w:after="120"/>
        <w:jc w:val="both"/>
      </w:pPr>
      <w:r>
        <w:rPr>
          <w:rFonts w:ascii="Arial" w:cs="Arial" w:eastAsia="Arial" w:hAnsi="Arial"/>
          <w:sz w:val="24"/>
          <w:szCs w:val="24"/>
        </w:rPr>
        <w:t xml:space="preserve">2. Участковая избирательная комиссия не позднее 40 календарных дней до дня голосования обязана направить избирателю, включенному в список избирателей, извещение о наличии его в списке избирателей.</w:t>
      </w:r>
    </w:p>
    <w:p>
      <w:pPr>
        <w:spacing w:after="120"/>
        <w:jc w:val="both"/>
      </w:pPr>
      <w:r>
        <w:rPr>
          <w:rFonts w:ascii="Arial" w:cs="Arial" w:eastAsia="Arial" w:hAnsi="Arial"/>
          <w:sz w:val="24"/>
          <w:szCs w:val="24"/>
        </w:rPr>
        <w:t xml:space="preserve">3. Каждый избиратель в случае обнаружения любой ошибки или неточности,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незамедлительно направляется участковой избирательной комиссией в уполномоченный государственный орган для рассмотрения.</w:t>
      </w:r>
    </w:p>
    <w:p>
      <w:pPr>
        <w:spacing w:after="120"/>
        <w:jc w:val="both"/>
      </w:pPr>
      <w:r>
        <w:rPr>
          <w:rFonts w:ascii="Arial" w:cs="Arial" w:eastAsia="Arial" w:hAnsi="Arial"/>
          <w:sz w:val="24"/>
          <w:szCs w:val="24"/>
        </w:rPr>
        <w:t xml:space="preserve">Ответ на данное заявление избирателя уполномоченный государственный орган направляет избирателю не позднее 2 календарных дней со дня включения его в список избирателей, исправления ошибок или неточностей.</w:t>
      </w:r>
    </w:p>
    <w:p>
      <w:pPr>
        <w:spacing w:after="120"/>
        <w:jc w:val="both"/>
      </w:pPr>
      <w:r>
        <w:rPr>
          <w:rFonts w:ascii="Arial" w:cs="Arial" w:eastAsia="Arial" w:hAnsi="Arial"/>
          <w:sz w:val="24"/>
          <w:szCs w:val="24"/>
        </w:rPr>
        <w:t xml:space="preserve">4. В случае отсутствия биометрических данных у избирателя он направляется в уполномоченный государственный орган для прохождения биометрической регистрации.</w:t>
      </w:r>
    </w:p>
    <w:p>
      <w:pPr>
        <w:spacing w:after="120"/>
        <w:jc w:val="both"/>
      </w:pPr>
      <w:r>
        <w:rPr>
          <w:rFonts w:ascii="Arial" w:cs="Arial" w:eastAsia="Arial" w:hAnsi="Arial"/>
          <w:sz w:val="24"/>
          <w:szCs w:val="24"/>
        </w:rPr>
        <w:t xml:space="preserve">5.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документа, удостоверяющего личность избирателя.</w:t>
      </w:r>
    </w:p>
    <w:p>
      <w:pPr>
        <w:spacing w:after="120"/>
        <w:jc w:val="both"/>
      </w:pPr>
      <w:r>
        <w:rPr>
          <w:rFonts w:ascii="Arial" w:cs="Arial" w:eastAsia="Arial" w:hAnsi="Arial"/>
          <w:sz w:val="24"/>
          <w:szCs w:val="24"/>
        </w:rPr>
        <w:t xml:space="preserve">Данное заявление незамедлительно передается в уполномоченный государственный орган, который обязан включить избирателя в список избирателей избирательного участка по избирательному адресу и уведомить об этом избирателя не позднее 2 календарных дней со дня включения его в список избирателей по избирательному адресу.</w:t>
      </w:r>
    </w:p>
    <w:p>
      <w:pPr>
        <w:spacing w:after="120"/>
        <w:jc w:val="both"/>
      </w:pPr>
      <w:r>
        <w:rPr>
          <w:rFonts w:ascii="Arial" w:cs="Arial" w:eastAsia="Arial" w:hAnsi="Arial"/>
          <w:sz w:val="24"/>
          <w:szCs w:val="24"/>
        </w:rPr>
        <w:t xml:space="preserve">6. Уполномоченный государственный орган за 15 календарных дней до дня голосования прекращает прием заявлений избирателей об ошибке или неточности, а также об отсутствии их в списке избирателей, о намерении голосовать по избирательному адресу.</w:t>
      </w:r>
    </w:p>
    <w:p>
      <w:pPr>
        <w:spacing w:after="120"/>
        <w:jc w:val="both"/>
      </w:pPr>
      <w:r>
        <w:rPr>
          <w:rFonts w:ascii="Arial" w:cs="Arial" w:eastAsia="Arial" w:hAnsi="Arial"/>
          <w:sz w:val="24"/>
          <w:szCs w:val="24"/>
        </w:rPr>
        <w:t xml:space="preserve">После обработки заявлений уполномоченный государственный орган формирует окончательный список избирателей, распределенный в соответствии с границами избирательных участков, и не позднее 10 календарных дней до дня голосования передает его в Центральную избирательную комиссию.</w:t>
      </w:r>
    </w:p>
    <w:p>
      <w:pPr>
        <w:spacing w:after="120"/>
        <w:jc w:val="both"/>
      </w:pPr>
      <w:r>
        <w:rPr>
          <w:rFonts w:ascii="Arial" w:cs="Arial" w:eastAsia="Arial" w:hAnsi="Arial"/>
          <w:sz w:val="24"/>
          <w:szCs w:val="24"/>
        </w:rPr>
        <w:t xml:space="preserve">Центральная избирательная комиссия незамедлительно передает пронумерованные, прошнурованные и заверенные печатью Центральной избирательной комиссии бумажные списки избирателей в соответствующие участковые избирательные комиссии не позднее 3 календарных дней до дня голосования.</w:t>
      </w:r>
    </w:p>
    <w:p>
      <w:pPr>
        <w:spacing w:after="120"/>
        <w:jc w:val="both"/>
      </w:pPr>
      <w:r>
        <w:rPr>
          <w:rFonts w:ascii="Arial" w:cs="Arial" w:eastAsia="Arial" w:hAnsi="Arial"/>
          <w:sz w:val="24"/>
          <w:szCs w:val="24"/>
        </w:rPr>
        <w:t xml:space="preserve">7. В день голосования имеют право голосовать исключительно избиратели, включенные в список избирателей.</w:t>
      </w:r>
    </w:p>
    <w:p>
      <w:pPr>
        <w:spacing w:after="120"/>
        <w:jc w:val="both"/>
      </w:pPr>
      <w:r>
        <w:rPr>
          <w:rFonts w:ascii="Arial" w:cs="Arial" w:eastAsia="Arial" w:hAnsi="Arial"/>
          <w:sz w:val="24"/>
          <w:szCs w:val="24"/>
        </w:rPr>
        <w:t xml:space="preserve">8. Порядок взаимодействия Центральной избирательной комиссии и уполномоченного государственного органа по вопросам составления, передачи списков избирателей, ознакомления со списками избирателей, рассмотрения заявлений избирателей об ошибке или неточности, а также об отсутствии их в списке избирателей, о намерении голосовать по избирательному адресу, об идентификации избирателей в день голосования, а также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120"/>
        <w:jc w:val="both"/>
      </w:pPr>
      <w:r>
        <w:rPr>
          <w:rFonts w:ascii="Arial" w:cs="Arial" w:eastAsia="Arial" w:hAnsi="Arial"/>
          <w:sz w:val="24"/>
          <w:szCs w:val="24"/>
        </w:rPr>
        <w:t xml:space="preserve">3) В статье 29:</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 в части 4 слова «кабины и ящики для голосования» заменить словами «а также оборудование, указанное в абзаце первом части 2 настоящей статьи,».</w:t>
      </w:r>
    </w:p>
    <w:p>
      <w:pPr>
        <w:spacing w:after="120"/>
        <w:jc w:val="both"/>
      </w:pPr>
      <w:r>
        <w:rPr>
          <w:rFonts w:ascii="Arial" w:cs="Arial" w:eastAsia="Arial" w:hAnsi="Arial"/>
          <w:sz w:val="24"/>
          <w:szCs w:val="24"/>
        </w:rPr>
        <w:t xml:space="preserve">4) В статье 30:</w:t>
      </w:r>
    </w:p>
    <w:p>
      <w:pPr>
        <w:spacing w:after="120"/>
        <w:jc w:val="both"/>
      </w:pPr>
      <w:r>
        <w:rPr>
          <w:rFonts w:ascii="Arial" w:cs="Arial" w:eastAsia="Arial" w:hAnsi="Arial"/>
          <w:sz w:val="24"/>
          <w:szCs w:val="24"/>
        </w:rPr>
        <w:t xml:space="preserve">- в части 3 цифры «20» заменить цифрами «25»;</w:t>
      </w:r>
    </w:p>
    <w:p>
      <w:pPr>
        <w:spacing w:after="120"/>
        <w:jc w:val="both"/>
      </w:pPr>
      <w:r>
        <w:rPr>
          <w:rFonts w:ascii="Arial" w:cs="Arial" w:eastAsia="Arial" w:hAnsi="Arial"/>
          <w:sz w:val="24"/>
          <w:szCs w:val="24"/>
        </w:rPr>
        <w:t xml:space="preserve">- часть 13 дополнить абзацем вторым следующего содержания:</w:t>
      </w:r>
    </w:p>
    <w:p>
      <w:pPr>
        <w:spacing w:after="120"/>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5) В статье 31:</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первом предложении цифры «19» заменить цифрами «20»;</w:t>
      </w:r>
    </w:p>
    <w:p>
      <w:pPr>
        <w:spacing w:after="120"/>
        <w:jc w:val="both"/>
      </w:pPr>
      <w:r>
        <w:rPr>
          <w:rFonts w:ascii="Arial" w:cs="Arial" w:eastAsia="Arial" w:hAnsi="Arial"/>
          <w:sz w:val="24"/>
          <w:szCs w:val="24"/>
        </w:rPr>
        <w:t xml:space="preserve">во втором предложении слова «проведении досрочного голосования и переголосования» заменить словом «переголосовании»;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3) выдавать избирательные бюллетени;</w:t>
      </w:r>
    </w:p>
    <w:p>
      <w:pPr>
        <w:spacing w:after="120"/>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групп избирателей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групп избирателей, средств массовой информации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групп избирателей.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 части 7 и 8 изложить в следующей редакции:</w:t>
      </w:r>
    </w:p>
    <w:p>
      <w:pPr>
        <w:spacing w:after="120"/>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 в части 10 слова «паспорта или заменяющего его документа» заменить словами «документа, удостоверяющего личность избирателя»;</w:t>
      </w:r>
    </w:p>
    <w:p>
      <w:pPr>
        <w:spacing w:after="120"/>
        <w:jc w:val="both"/>
      </w:pPr>
      <w:r>
        <w:rPr>
          <w:rFonts w:ascii="Arial" w:cs="Arial" w:eastAsia="Arial" w:hAnsi="Arial"/>
          <w:sz w:val="24"/>
          <w:szCs w:val="24"/>
        </w:rPr>
        <w:t xml:space="preserve">- в части 11:</w:t>
      </w:r>
    </w:p>
    <w:p>
      <w:pPr>
        <w:spacing w:after="120"/>
        <w:jc w:val="both"/>
      </w:pPr>
      <w:r>
        <w:rPr>
          <w:rFonts w:ascii="Arial" w:cs="Arial" w:eastAsia="Arial" w:hAnsi="Arial"/>
          <w:sz w:val="24"/>
          <w:szCs w:val="24"/>
        </w:rPr>
        <w:t xml:space="preserve">слова «в списке избирателей» заменить словами «в бумажном списке избирателей»;</w:t>
      </w:r>
    </w:p>
    <w:p>
      <w:pPr>
        <w:spacing w:after="120"/>
        <w:jc w:val="both"/>
      </w:pPr>
      <w:r>
        <w:rPr>
          <w:rFonts w:ascii="Arial" w:cs="Arial" w:eastAsia="Arial" w:hAnsi="Arial"/>
          <w:sz w:val="24"/>
          <w:szCs w:val="24"/>
        </w:rPr>
        <w:t xml:space="preserve">слова «паспорта или» исключить;</w:t>
      </w:r>
    </w:p>
    <w:p>
      <w:pPr>
        <w:spacing w:after="120"/>
        <w:jc w:val="both"/>
      </w:pPr>
      <w:r>
        <w:rPr>
          <w:rFonts w:ascii="Arial" w:cs="Arial" w:eastAsia="Arial" w:hAnsi="Arial"/>
          <w:sz w:val="24"/>
          <w:szCs w:val="24"/>
        </w:rPr>
        <w:t xml:space="preserve">- в части 16 слова «и сложенные» исключить;</w:t>
      </w:r>
    </w:p>
    <w:p>
      <w:pPr>
        <w:spacing w:after="120"/>
        <w:jc w:val="both"/>
      </w:pPr>
      <w:r>
        <w:rPr>
          <w:rFonts w:ascii="Arial" w:cs="Arial" w:eastAsia="Arial" w:hAnsi="Arial"/>
          <w:sz w:val="24"/>
          <w:szCs w:val="24"/>
        </w:rPr>
        <w:t xml:space="preserve">- статью дополнить частью 20 следующего содержания:</w:t>
      </w:r>
    </w:p>
    <w:p>
      <w:pPr>
        <w:spacing w:after="120"/>
        <w:jc w:val="both"/>
      </w:pPr>
      <w:r>
        <w:rPr>
          <w:rFonts w:ascii="Arial" w:cs="Arial" w:eastAsia="Arial" w:hAnsi="Arial"/>
          <w:sz w:val="24"/>
          <w:szCs w:val="24"/>
        </w:rPr>
        <w:t xml:space="preserve">«20.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6) Статью 32 признать утратившей силу.</w:t>
      </w:r>
    </w:p>
    <w:p>
      <w:pPr>
        <w:spacing w:after="120"/>
        <w:jc w:val="both"/>
      </w:pPr>
      <w:r>
        <w:rPr>
          <w:rFonts w:ascii="Arial" w:cs="Arial" w:eastAsia="Arial" w:hAnsi="Arial"/>
          <w:sz w:val="24"/>
          <w:szCs w:val="24"/>
        </w:rPr>
        <w:t xml:space="preserve">7) В статье 33:</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первом предложении слова «или устного обращения избирателя (в том числе переданного при содействии других лиц)» заменить словом «избирателя»;</w:t>
      </w:r>
    </w:p>
    <w:p>
      <w:pPr>
        <w:spacing w:after="120"/>
        <w:jc w:val="both"/>
      </w:pPr>
      <w:r>
        <w:rPr>
          <w:rFonts w:ascii="Arial" w:cs="Arial" w:eastAsia="Arial" w:hAnsi="Arial"/>
          <w:sz w:val="24"/>
          <w:szCs w:val="24"/>
        </w:rPr>
        <w:t xml:space="preserve">во втором и третьем предложениях слова «(обращение)» и «(обращения)» исключить;</w:t>
      </w:r>
    </w:p>
    <w:p>
      <w:pPr>
        <w:spacing w:after="120"/>
        <w:jc w:val="both"/>
      </w:pPr>
      <w:r>
        <w:rPr>
          <w:rFonts w:ascii="Arial" w:cs="Arial" w:eastAsia="Arial" w:hAnsi="Arial"/>
          <w:sz w:val="24"/>
          <w:szCs w:val="24"/>
        </w:rPr>
        <w:t xml:space="preserve">пятое предложение исключить;</w:t>
      </w:r>
    </w:p>
    <w:p>
      <w:pPr>
        <w:spacing w:after="120"/>
        <w:jc w:val="both"/>
      </w:pPr>
      <w:r>
        <w:rPr>
          <w:rFonts w:ascii="Arial" w:cs="Arial" w:eastAsia="Arial" w:hAnsi="Arial"/>
          <w:sz w:val="24"/>
          <w:szCs w:val="24"/>
        </w:rPr>
        <w:t xml:space="preserve">- часть 3 после слов «участковой избирательной комиссии» дополнить словами «совместно с оператором»;</w:t>
      </w:r>
    </w:p>
    <w:p>
      <w:pPr>
        <w:spacing w:after="120"/>
        <w:jc w:val="both"/>
      </w:pPr>
      <w:r>
        <w:rPr>
          <w:rFonts w:ascii="Arial" w:cs="Arial" w:eastAsia="Arial" w:hAnsi="Arial"/>
          <w:sz w:val="24"/>
          <w:szCs w:val="24"/>
        </w:rPr>
        <w:t xml:space="preserve">- часть 4 дополнить абзацем вторым следующего содержания:</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8) В статье 36:</w:t>
      </w:r>
    </w:p>
    <w:p>
      <w:pPr>
        <w:spacing w:after="120"/>
        <w:jc w:val="both"/>
      </w:pPr>
      <w:r>
        <w:rPr>
          <w:rFonts w:ascii="Arial" w:cs="Arial" w:eastAsia="Arial" w:hAnsi="Arial"/>
          <w:sz w:val="24"/>
          <w:szCs w:val="24"/>
        </w:rPr>
        <w:t xml:space="preserve">- часть 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 часть 6 дополнить абзацем четвертым следующего содержания:</w:t>
      </w:r>
    </w:p>
    <w:p>
      <w:pPr>
        <w:spacing w:after="120"/>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120"/>
        <w:jc w:val="both"/>
      </w:pPr>
      <w:r>
        <w:rPr>
          <w:rFonts w:ascii="Arial" w:cs="Arial" w:eastAsia="Arial" w:hAnsi="Arial"/>
          <w:sz w:val="24"/>
          <w:szCs w:val="24"/>
        </w:rPr>
        <w:t xml:space="preserve">- часть 7 изложить в следующей редакции:</w:t>
      </w:r>
    </w:p>
    <w:p>
      <w:pPr>
        <w:spacing w:after="120"/>
        <w:jc w:val="both"/>
      </w:pPr>
      <w:r>
        <w:rPr>
          <w:rFonts w:ascii="Arial" w:cs="Arial" w:eastAsia="Arial" w:hAnsi="Arial"/>
          <w:sz w:val="24"/>
          <w:szCs w:val="24"/>
        </w:rPr>
        <w:t xml:space="preserve">«7. В случае применения автоматически считывающих урн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 в третьем предложении абзаца первого части 11 слова «К числу недействительных относятся и избирательные бюллетени,» заменить словами 
 «К числу бюллетеней неустановленной формы относятся бюллетени,»;</w:t>
      </w:r>
    </w:p>
    <w:p>
      <w:pPr>
        <w:spacing w:after="120"/>
        <w:jc w:val="both"/>
      </w:pPr>
      <w:r>
        <w:rPr>
          <w:rFonts w:ascii="Arial" w:cs="Arial" w:eastAsia="Arial" w:hAnsi="Arial"/>
          <w:sz w:val="24"/>
          <w:szCs w:val="24"/>
        </w:rPr>
        <w:t xml:space="preserve">- в части 12:</w:t>
      </w:r>
    </w:p>
    <w:p>
      <w:pPr>
        <w:spacing w:after="120"/>
        <w:jc w:val="both"/>
      </w:pPr>
      <w:r>
        <w:rPr>
          <w:rFonts w:ascii="Arial" w:cs="Arial" w:eastAsia="Arial" w:hAnsi="Arial"/>
          <w:sz w:val="24"/>
          <w:szCs w:val="24"/>
        </w:rPr>
        <w:t xml:space="preserve">второе предложение изложить в следующей редакции:</w:t>
      </w:r>
    </w:p>
    <w:p>
      <w:pPr>
        <w:spacing w:after="120"/>
        <w:jc w:val="both"/>
      </w:pPr>
      <w:r>
        <w:rPr>
          <w:rFonts w:ascii="Arial" w:cs="Arial" w:eastAsia="Arial" w:hAnsi="Arial"/>
          <w:sz w:val="24"/>
          <w:szCs w:val="24"/>
        </w:rPr>
        <w:t xml:space="preserve">«В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группы избирателей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группы избирателей или наблюдателя и предоставлении возможности визуального контроля с их стороны.»;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статье 38:</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 часть 5 дополнить пунктом 5 следующего содержания:</w:t>
      </w:r>
    </w:p>
    <w:p>
      <w:pPr>
        <w:spacing w:after="120"/>
        <w:jc w:val="both"/>
      </w:pPr>
      <w:r>
        <w:rPr>
          <w:rFonts w:ascii="Arial" w:cs="Arial" w:eastAsia="Arial" w:hAnsi="Arial"/>
          <w:sz w:val="24"/>
          <w:szCs w:val="24"/>
        </w:rPr>
        <w:t xml:space="preserve">«5) если все избирательные бюллетени в ящике для голосования признаны недействительными.».</w:t>
      </w:r>
    </w:p>
    <w:p>
      <w:pPr>
        <w:spacing w:after="120"/>
        <w:jc w:val="both"/>
      </w:pPr>
      <w:r>
        <w:rPr>
          <w:rFonts w:ascii="Arial" w:cs="Arial" w:eastAsia="Arial" w:hAnsi="Arial"/>
          <w:sz w:val="24"/>
          <w:szCs w:val="24"/>
        </w:rPr>
        <w:t xml:space="preserve">10) Часть 4 статьи 41 изложить в следующей редакции:</w:t>
      </w:r>
    </w:p>
    <w:p>
      <w:pPr>
        <w:spacing w:after="120"/>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участников избирательного процесса, нарушающие избирательные права граждан, требования настоящего Закона, могут быть обжалованы в органы прокуратуры, органы внутренних дел, избирательные комиссии или суд в соответствии с законодательством.</w:t>
      </w:r>
    </w:p>
    <w:p>
      <w:pPr>
        <w:spacing w:after="120"/>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участников избирательного процесса, за исключением лиц, указанных в абзаце третьем настоящей части, за которые предусматривается административная или уголовная ответственность в соответствии с законодательством.</w:t>
      </w:r>
    </w:p>
    <w:p>
      <w:pPr>
        <w:spacing w:after="120"/>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административная и уголовная ответственность в соответствии с законодательством.</w:t>
      </w:r>
    </w:p>
    <w:p>
      <w:pPr>
        <w:spacing w:after="120"/>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участников избирательного процесса, за исключением лиц, указанных в абзаце третьем настоящей части, за которые предусматривается административная или уголовная ответственность в пределах полномочий, установленных законодательством.».</w:t>
      </w:r>
    </w:p>
    <w:p>
      <w:pPr>
        <w:spacing w:after="120"/>
        <w:jc w:val="both"/>
      </w:pPr>
      <w:r>
        <w:rPr>
          <w:rFonts w:ascii="Arial" w:cs="Arial" w:eastAsia="Arial" w:hAnsi="Arial"/>
          <w:sz w:val="24"/>
          <w:szCs w:val="24"/>
        </w:rPr>
        <w:t xml:space="preserve">11) В статье 42:</w:t>
      </w:r>
    </w:p>
    <w:p>
      <w:pPr>
        <w:spacing w:after="120"/>
        <w:jc w:val="both"/>
      </w:pPr>
      <w:r>
        <w:rPr>
          <w:rFonts w:ascii="Arial" w:cs="Arial" w:eastAsia="Arial" w:hAnsi="Arial"/>
          <w:sz w:val="24"/>
          <w:szCs w:val="24"/>
        </w:rPr>
        <w:t xml:space="preserve">- в части 1 слова «либо суд» заменить словами «,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 в части 2 слова «, а также избирательные комиссии» исключить;</w:t>
      </w:r>
    </w:p>
    <w:p>
      <w:pPr>
        <w:spacing w:after="120"/>
        <w:jc w:val="both"/>
      </w:pPr>
      <w:r>
        <w:rPr>
          <w:rFonts w:ascii="Arial" w:cs="Arial" w:eastAsia="Arial" w:hAnsi="Arial"/>
          <w:sz w:val="24"/>
          <w:szCs w:val="24"/>
        </w:rPr>
        <w:t xml:space="preserve">- часть 3 признать утратившей силу;</w:t>
      </w:r>
    </w:p>
    <w:p>
      <w:pPr>
        <w:spacing w:after="120"/>
        <w:jc w:val="both"/>
      </w:pPr>
      <w:r>
        <w:rPr>
          <w:rFonts w:ascii="Arial" w:cs="Arial" w:eastAsia="Arial" w:hAnsi="Arial"/>
          <w:sz w:val="24"/>
          <w:szCs w:val="24"/>
        </w:rPr>
        <w:t xml:space="preserve">- в частях 5 и 6 слова «или суд первой инстанции» исключить;</w:t>
      </w:r>
    </w:p>
    <w:p>
      <w:pPr>
        <w:spacing w:after="120"/>
        <w:jc w:val="both"/>
      </w:pPr>
      <w:r>
        <w:rPr>
          <w:rFonts w:ascii="Arial" w:cs="Arial" w:eastAsia="Arial" w:hAnsi="Arial"/>
          <w:sz w:val="24"/>
          <w:szCs w:val="24"/>
        </w:rPr>
        <w:t xml:space="preserve">- в части 12 слова «соответствующей избирательной комиссии» заменить словами «Центральной избирательной комиссии».</w:t>
      </w:r>
    </w:p>
    <w:p>
      <w:pPr>
        <w:spacing w:after="120"/>
        <w:jc w:val="both"/>
      </w:pPr>
      <w:r>
        <w:rPr>
          <w:rFonts w:ascii="Arial" w:cs="Arial" w:eastAsia="Arial" w:hAnsi="Arial"/>
          <w:sz w:val="24"/>
          <w:szCs w:val="24"/>
        </w:rPr>
        <w:t xml:space="preserve">12) Часть 1 статьи 51 дополнить абзацем третьим следующего содержания:</w:t>
      </w:r>
    </w:p>
    <w:p>
      <w:pPr>
        <w:spacing w:after="120"/>
        <w:jc w:val="both"/>
      </w:pPr>
      <w:r>
        <w:rPr>
          <w:rFonts w:ascii="Arial" w:cs="Arial" w:eastAsia="Arial" w:hAnsi="Arial"/>
          <w:sz w:val="24"/>
          <w:szCs w:val="24"/>
        </w:rPr>
        <w:t xml:space="preserve">«Кандидат, состоявший в выдвинутом политической партией списке кандидатов, после голосования, до распределения депутатских мандатов, вправе обратиться с заявлением в соответствующую территориальную избирательную комиссию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120"/>
        <w:jc w:val="both"/>
      </w:pPr>
      <w:r>
        <w:rPr>
          <w:rFonts w:ascii="Arial" w:cs="Arial" w:eastAsia="Arial" w:hAnsi="Arial"/>
          <w:sz w:val="24"/>
          <w:szCs w:val="24"/>
        </w:rPr>
        <w:t xml:space="preserve">13) В статье 52:</w:t>
      </w:r>
    </w:p>
    <w:p>
      <w:pPr>
        <w:spacing w:after="120"/>
        <w:jc w:val="both"/>
      </w:pPr>
      <w:r>
        <w:rPr>
          <w:rFonts w:ascii="Arial" w:cs="Arial" w:eastAsia="Arial" w:hAnsi="Arial"/>
          <w:sz w:val="24"/>
          <w:szCs w:val="24"/>
        </w:rPr>
        <w:t xml:space="preserve">- абзац первый части 1 на государственном языке изложить в следующей редакции:</w:t>
      </w:r>
    </w:p>
    <w:p>
      <w:pPr>
        <w:spacing w:after="120"/>
        <w:jc w:val="both"/>
      </w:pPr>
      <w:r>
        <w:rPr>
          <w:rFonts w:ascii="Arial" w:cs="Arial" w:eastAsia="Arial" w:hAnsi="Arial"/>
          <w:sz w:val="24"/>
          <w:szCs w:val="24"/>
        </w:rPr>
        <w:t xml:space="preserve">«1. Жергиликтүү кеңештин депутатынын ыйгарым укуктары мөөнөтүнөн мурда токтотулган учурда анын мандаты тийиштүү аймактык шайлоо комиссиясынын чечими менен төмөнкүлөргө өткөрүлүп берилет:»;</w:t>
      </w:r>
    </w:p>
    <w:p>
      <w:pPr>
        <w:spacing w:after="120"/>
        <w:jc w:val="both"/>
      </w:pPr>
      <w:r>
        <w:rPr>
          <w:rFonts w:ascii="Arial" w:cs="Arial" w:eastAsia="Arial" w:hAnsi="Arial"/>
          <w:sz w:val="24"/>
          <w:szCs w:val="24"/>
        </w:rPr>
        <w:t xml:space="preserve">- в абзаце первом части 2 слова «Под досрочным выбытием» заменить словами «Под досрочным прекращением полномочий».</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4wg-vu8xkzv7lkj-8rsg">
      <w:r>
        <w:rPr>
          <w:rFonts w:ascii="Arial" w:cs="Arial" w:eastAsia="Arial" w:hAnsi="Arial"/>
          <w:color w:val="132D3F"/>
          <w:sz w:val="16"/>
          <w:szCs w:val="16"/>
          <w:u w:val="single"/>
        </w:rPr>
        <w:t xml:space="preserve">dalil.kg/document/98200</w:t>
      </w:r>
    </w:hyperlink>
  </w:p>
  <w:p>
    <w:pPr>
      <w:spacing w:after="0" w:before="40"/>
      <w:jc w:val="center"/>
    </w:pPr>
    <w:hyperlink w:history="1" r:id="rIdhihimcxkn0tczkyhoko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quieabalsp4s-jjgfce" Type="http://schemas.openxmlformats.org/officeDocument/2006/relationships/hyperlink" Target="https://dalil.kg/document/159126" TargetMode="External"/><Relationship Id="rIdigos6hwkv8hwlg10zubib" Type="http://schemas.openxmlformats.org/officeDocument/2006/relationships/hyperlink" Target="https://dalil.kg/document/202913" TargetMode="External"/><Relationship Id="rIdd_8yy7as5eeihfmnkklhz" Type="http://schemas.openxmlformats.org/officeDocument/2006/relationships/hyperlink" Target="https://dalil.kg/document/98200#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4wg-vu8xkzv7lkj-8rsg" Type="http://schemas.openxmlformats.org/officeDocument/2006/relationships/hyperlink" Target="https://dalil.kg/document/98200" TargetMode="External"/><Relationship Id="rIdhihimcxkn0tczkyhoko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2026-09-24T06:16:29.914Z</dcterms:created>
  <dcterms:modified xsi:type="dcterms:W3CDTF">2026-09-24T06:16:29.914Z</dcterms:modified>
</cp:coreProperties>
</file>

<file path=docProps/custom.xml><?xml version="1.0" encoding="utf-8"?>
<Properties xmlns="http://schemas.openxmlformats.org/officeDocument/2006/custom-properties" xmlns:vt="http://schemas.openxmlformats.org/officeDocument/2006/docPropsVTypes"/>
</file>