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w:t>
      </w:r>
    </w:p>
    <w:p>
      <w:pPr>
        <w:spacing w:after="120"/>
        <w:jc w:val="center"/>
      </w:pPr>
      <w:r>
        <w:rPr>
          <w:rFonts w:ascii="Arial" w:cs="Arial" w:eastAsia="Arial" w:hAnsi="Arial"/>
          <w:i/>
          <w:iCs/>
          <w:sz w:val="24"/>
          <w:szCs w:val="24"/>
        </w:rPr>
        <w:t xml:space="preserve">в соответствии с </w:t>
      </w:r>
      <w:hyperlink w:history="1" r:id="rIdtzfkvzhfquol0wwctehb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18 июля 2026 года № 497</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vmd6vxyiuiqlfsxwkwhq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августа 2015 года № 590</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требованиях к деятельности депозитария, оказывающего услуги накопительным пенсионным фондам</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Депозитарием может быть только юридическое лицо, имеющее лицензию на осуществление депозитарной профессиональной деятельности по ценным бумагам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Депозитарий не может использовать ценные бумаги накопительных пенсионных фондов (далее - НПФ) для других целей, в том числе кредитных и валютных операций, а также для оплаты своих долгов и прочих обязательств.</w:t>
      </w:r>
    </w:p>
    <w:p>
      <w:pPr>
        <w:spacing w:after="60"/>
        <w:ind w:firstLine="567"/>
        <w:jc w:val="both"/>
      </w:pPr>
      <w:r>
        <w:rPr>
          <w:rFonts w:ascii="Arial" w:cs="Arial" w:eastAsia="Arial" w:hAnsi="Arial"/>
          <w:sz w:val="24"/>
          <w:szCs w:val="24"/>
        </w:rPr>
        <w:t xml:space="preserve">4. Депозитарий не является аффилированным лицом ни одной из управляющих компаний, осуществляющих доверительное управление средствами пенсионных накоплений, либо аффилированных лиц указанных управляющих компаний.</w:t>
      </w:r>
    </w:p>
    <w:p>
      <w:pPr>
        <w:spacing w:after="60"/>
        <w:ind w:firstLine="567"/>
        <w:jc w:val="both"/>
      </w:pPr>
      <w:r>
        <w:rPr>
          <w:rFonts w:ascii="Arial" w:cs="Arial" w:eastAsia="Arial" w:hAnsi="Arial"/>
          <w:sz w:val="24"/>
          <w:szCs w:val="24"/>
        </w:rPr>
        <w:t xml:space="preserve">5. Депозитарий должен соблюдать иные требования, предусмотренные нормативными правовыми актами Кыргызской Республики, соответствующими им договорами с НПФ и управляющими компаниями.</w:t>
      </w:r>
    </w:p>
    <w:p>
      <w:pPr>
        <w:spacing w:after="200" w:before="200"/>
        <w:jc w:val="center"/>
      </w:pPr>
      <w:r>
        <w:rPr>
          <w:rFonts w:ascii="Arial" w:cs="Arial" w:eastAsia="Arial" w:hAnsi="Arial"/>
          <w:b/>
          <w:bCs/>
          <w:sz w:val="24"/>
          <w:szCs w:val="24"/>
        </w:rPr>
        <w:t xml:space="preserve">2. Функциональные обязанности</w:t>
      </w:r>
    </w:p>
    <w:p>
      <w:pPr>
        <w:spacing w:after="60"/>
        <w:ind w:firstLine="567"/>
        <w:jc w:val="both"/>
      </w:pPr>
      <w:r>
        <w:rPr>
          <w:rFonts w:ascii="Arial" w:cs="Arial" w:eastAsia="Arial" w:hAnsi="Arial"/>
          <w:sz w:val="24"/>
          <w:szCs w:val="24"/>
        </w:rPr>
        <w:t xml:space="preserve">6. Депозитарий осуществляет свои функции в соответствии с законодательством Кыргызской Республики в сфере рынка ценных бумаг.</w:t>
      </w:r>
    </w:p>
    <w:p>
      <w:pPr>
        <w:spacing w:after="200" w:before="200"/>
        <w:jc w:val="center"/>
      </w:pPr>
      <w:r>
        <w:rPr>
          <w:rFonts w:ascii="Arial" w:cs="Arial" w:eastAsia="Arial" w:hAnsi="Arial"/>
          <w:b/>
          <w:bCs/>
          <w:sz w:val="24"/>
          <w:szCs w:val="24"/>
        </w:rPr>
        <w:t xml:space="preserve">3. Учет прав на ценные бумаги</w:t>
      </w:r>
    </w:p>
    <w:p>
      <w:pPr>
        <w:spacing w:after="60"/>
        <w:ind w:firstLine="567"/>
        <w:jc w:val="both"/>
      </w:pPr>
      <w:r>
        <w:rPr>
          <w:rFonts w:ascii="Arial" w:cs="Arial" w:eastAsia="Arial" w:hAnsi="Arial"/>
          <w:sz w:val="24"/>
          <w:szCs w:val="24"/>
        </w:rPr>
        <w:t xml:space="preserve">7. Учет прав на ценные бумаги и учет перехода прав на ценные бумаги, в которые инвестированы средства пенсионных накоплений, по каждому договору доверительного управления осуществляются на отдельном счете депо, открытом депозитарием на имя соответствующей управляющей компании. На указанных счетах депо не осуществляется учет прав на ценные бумаги, приобретенные за счет имущества, находящегося у управляющей компании по иным основаниям.</w:t>
      </w:r>
    </w:p>
    <w:p>
      <w:pPr>
        <w:spacing w:after="200" w:before="200"/>
        <w:jc w:val="center"/>
      </w:pPr>
      <w:r>
        <w:rPr>
          <w:rFonts w:ascii="Arial" w:cs="Arial" w:eastAsia="Arial" w:hAnsi="Arial"/>
          <w:b/>
          <w:bCs/>
          <w:sz w:val="24"/>
          <w:szCs w:val="24"/>
        </w:rPr>
        <w:t xml:space="preserve">4. Хранение документов и документооборот</w:t>
      </w:r>
    </w:p>
    <w:p>
      <w:pPr>
        <w:spacing w:after="60"/>
        <w:ind w:firstLine="567"/>
        <w:jc w:val="both"/>
      </w:pPr>
      <w:r>
        <w:rPr>
          <w:rFonts w:ascii="Arial" w:cs="Arial" w:eastAsia="Arial" w:hAnsi="Arial"/>
          <w:sz w:val="24"/>
          <w:szCs w:val="24"/>
        </w:rPr>
        <w:t xml:space="preserve">8. Депозитарий хранит:</w:t>
      </w:r>
    </w:p>
    <w:p>
      <w:pPr>
        <w:spacing w:after="60"/>
        <w:ind w:firstLine="567"/>
        <w:jc w:val="both"/>
      </w:pPr>
      <w:r>
        <w:rPr>
          <w:rFonts w:ascii="Arial" w:cs="Arial" w:eastAsia="Arial" w:hAnsi="Arial"/>
          <w:sz w:val="24"/>
          <w:szCs w:val="24"/>
        </w:rPr>
        <w:t xml:space="preserve">а) копии договоров доверительного управления средствами пенсионных накоплений, заключенных НПФ с управляющими компаниями, копии изменений, внесенных в указанные договоры, а также копии документов, подтверждающих прекращение указанных договоров;</w:t>
      </w:r>
    </w:p>
    <w:p>
      <w:pPr>
        <w:spacing w:after="60"/>
        <w:ind w:firstLine="567"/>
        <w:jc w:val="both"/>
      </w:pPr>
      <w:r>
        <w:rPr>
          <w:rFonts w:ascii="Arial" w:cs="Arial" w:eastAsia="Arial" w:hAnsi="Arial"/>
          <w:sz w:val="24"/>
          <w:szCs w:val="24"/>
        </w:rPr>
        <w:t xml:space="preserve">б) копии договоров, на основании которых осуществляется размещение средств пенсионных накоплений, изменений, внесенных в указанные договоры, а также копии документов, подтверждающих прекращение указанных договоров;</w:t>
      </w:r>
    </w:p>
    <w:p>
      <w:pPr>
        <w:spacing w:after="60"/>
        <w:ind w:firstLine="567"/>
        <w:jc w:val="both"/>
      </w:pPr>
      <w:r>
        <w:rPr>
          <w:rFonts w:ascii="Arial" w:cs="Arial" w:eastAsia="Arial" w:hAnsi="Arial"/>
          <w:sz w:val="24"/>
          <w:szCs w:val="24"/>
        </w:rPr>
        <w:t xml:space="preserve">в) копии документов, подтверждающих предварительное согласие депозитария на распоряжение средствами пенсионных накоплений.</w:t>
      </w:r>
    </w:p>
    <w:p>
      <w:pPr>
        <w:spacing w:after="60"/>
        <w:ind w:firstLine="567"/>
        <w:jc w:val="both"/>
      </w:pPr>
      <w:r>
        <w:rPr>
          <w:rFonts w:ascii="Arial" w:cs="Arial" w:eastAsia="Arial" w:hAnsi="Arial"/>
          <w:sz w:val="24"/>
          <w:szCs w:val="24"/>
        </w:rPr>
        <w:t xml:space="preserve">9. Депозитарий осуществляет учет прав на ценные бумаги и хранение сертификатов документарных ценных бумаг, в которые инвестированы средства пенсионных накоплений, обособленно от ценных бумаг других клиентов (депонентов), в том числе иного инвестиционного портфеля управляющих компаний, заключивших с НПФ договоры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10. Депозитарий ведет учет документов (их копий), полученных и переданных им при осуществлении своей деятельности, с указанием даты их получения.</w:t>
      </w:r>
    </w:p>
    <w:p>
      <w:pPr>
        <w:spacing w:after="60"/>
        <w:ind w:firstLine="567"/>
        <w:jc w:val="both"/>
      </w:pPr>
      <w:r>
        <w:rPr>
          <w:rFonts w:ascii="Arial" w:cs="Arial" w:eastAsia="Arial" w:hAnsi="Arial"/>
          <w:sz w:val="24"/>
          <w:szCs w:val="24"/>
        </w:rPr>
        <w:t xml:space="preserve">11. Хранение документов (копий документов), предусмотренных пунктом 8, осуществляется в течение 5 лет после истечения срока их действия.</w:t>
      </w:r>
    </w:p>
    <w:p>
      <w:pPr>
        <w:spacing w:after="200" w:before="200"/>
        <w:jc w:val="center"/>
      </w:pPr>
      <w:r>
        <w:rPr>
          <w:rFonts w:ascii="Arial" w:cs="Arial" w:eastAsia="Arial" w:hAnsi="Arial"/>
          <w:b/>
          <w:bCs/>
          <w:sz w:val="24"/>
          <w:szCs w:val="24"/>
        </w:rPr>
        <w:t xml:space="preserve">5. Внутренние правила</w:t>
      </w:r>
    </w:p>
    <w:p>
      <w:pPr>
        <w:spacing w:after="60"/>
        <w:ind w:firstLine="567"/>
        <w:jc w:val="both"/>
      </w:pPr>
      <w:r>
        <w:rPr>
          <w:rFonts w:ascii="Arial" w:cs="Arial" w:eastAsia="Arial" w:hAnsi="Arial"/>
          <w:sz w:val="24"/>
          <w:szCs w:val="24"/>
        </w:rPr>
        <w:t xml:space="preserve">12. Внутренние правила депозитария должны исчерпывающим образом описывать процедуру осуществления функций депозитария и содержать:</w:t>
      </w:r>
    </w:p>
    <w:p>
      <w:pPr>
        <w:spacing w:after="60"/>
        <w:ind w:firstLine="567"/>
        <w:jc w:val="both"/>
      </w:pPr>
      <w:r>
        <w:rPr>
          <w:rFonts w:ascii="Arial" w:cs="Arial" w:eastAsia="Arial" w:hAnsi="Arial"/>
          <w:sz w:val="24"/>
          <w:szCs w:val="24"/>
        </w:rPr>
        <w:t xml:space="preserve">а) процедуры осуществления депозитарной деятельности;</w:t>
      </w:r>
    </w:p>
    <w:p>
      <w:pPr>
        <w:spacing w:after="60"/>
        <w:ind w:firstLine="567"/>
        <w:jc w:val="both"/>
      </w:pPr>
      <w:r>
        <w:rPr>
          <w:rFonts w:ascii="Arial" w:cs="Arial" w:eastAsia="Arial" w:hAnsi="Arial"/>
          <w:sz w:val="24"/>
          <w:szCs w:val="24"/>
        </w:rPr>
        <w:t xml:space="preserve">б) формы применяемых депозитарием документов первичного учета и отчетов перед клиентами;</w:t>
      </w:r>
    </w:p>
    <w:p>
      <w:pPr>
        <w:spacing w:after="60"/>
        <w:ind w:firstLine="567"/>
        <w:jc w:val="both"/>
      </w:pPr>
      <w:r>
        <w:rPr>
          <w:rFonts w:ascii="Arial" w:cs="Arial" w:eastAsia="Arial" w:hAnsi="Arial"/>
          <w:sz w:val="24"/>
          <w:szCs w:val="24"/>
        </w:rPr>
        <w:t xml:space="preserve">в) описание порядка взаимодействия структурных подразделений в процессе осуществления депозитарной деятельности, а также осуществления контрольных функций;</w:t>
      </w:r>
    </w:p>
    <w:p>
      <w:pPr>
        <w:spacing w:after="60"/>
        <w:ind w:firstLine="567"/>
        <w:jc w:val="both"/>
      </w:pPr>
      <w:r>
        <w:rPr>
          <w:rFonts w:ascii="Arial" w:cs="Arial" w:eastAsia="Arial" w:hAnsi="Arial"/>
          <w:sz w:val="24"/>
          <w:szCs w:val="24"/>
        </w:rPr>
        <w:t xml:space="preserve">г) описание организации внутреннего контроля за соблюдением требований, предъявляемых к депозитарной деятельности;</w:t>
      </w:r>
    </w:p>
    <w:p>
      <w:pPr>
        <w:spacing w:after="60"/>
        <w:ind w:firstLine="567"/>
        <w:jc w:val="both"/>
      </w:pPr>
      <w:r>
        <w:rPr>
          <w:rFonts w:ascii="Arial" w:cs="Arial" w:eastAsia="Arial" w:hAnsi="Arial"/>
          <w:sz w:val="24"/>
          <w:szCs w:val="24"/>
        </w:rPr>
        <w:t xml:space="preserve">д) формы договоров с клиентами;</w:t>
      </w:r>
    </w:p>
    <w:p>
      <w:pPr>
        <w:spacing w:after="60"/>
        <w:ind w:firstLine="567"/>
        <w:jc w:val="both"/>
      </w:pPr>
      <w:r>
        <w:rPr>
          <w:rFonts w:ascii="Arial" w:cs="Arial" w:eastAsia="Arial" w:hAnsi="Arial"/>
          <w:sz w:val="24"/>
          <w:szCs w:val="24"/>
        </w:rPr>
        <w:t xml:space="preserve">е) описание внутренних процедур, предупреждающих возможность возникновения конфликта интересов.</w:t>
      </w:r>
    </w:p>
    <w:p>
      <w:pPr>
        <w:spacing w:after="60"/>
        <w:ind w:firstLine="567"/>
        <w:jc w:val="both"/>
      </w:pPr>
      <w:r>
        <w:rPr>
          <w:rFonts w:ascii="Arial" w:cs="Arial" w:eastAsia="Arial" w:hAnsi="Arial"/>
          <w:sz w:val="24"/>
          <w:szCs w:val="24"/>
        </w:rPr>
        <w:t xml:space="preserve">13. Описание организации внутреннего контроля за соблюдением требований, предъявляемых к депозитарной деятельности, должно содержать:</w:t>
      </w:r>
    </w:p>
    <w:p>
      <w:pPr>
        <w:spacing w:after="60"/>
        <w:ind w:firstLine="567"/>
        <w:jc w:val="both"/>
      </w:pPr>
      <w:r>
        <w:rPr>
          <w:rFonts w:ascii="Arial" w:cs="Arial" w:eastAsia="Arial" w:hAnsi="Arial"/>
          <w:sz w:val="24"/>
          <w:szCs w:val="24"/>
        </w:rPr>
        <w:t xml:space="preserve">а) описание процедуры осуществления внутреннего контроля;</w:t>
      </w:r>
    </w:p>
    <w:p>
      <w:pPr>
        <w:spacing w:after="60"/>
        <w:ind w:firstLine="567"/>
        <w:jc w:val="both"/>
      </w:pPr>
      <w:r>
        <w:rPr>
          <w:rFonts w:ascii="Arial" w:cs="Arial" w:eastAsia="Arial" w:hAnsi="Arial"/>
          <w:sz w:val="24"/>
          <w:szCs w:val="24"/>
        </w:rPr>
        <w:t xml:space="preserve">б) систему внутреннего контроля и порядок проверки данных, вводимых в учетную систему депозитария;</w:t>
      </w:r>
    </w:p>
    <w:p>
      <w:pPr>
        <w:spacing w:after="60"/>
        <w:ind w:firstLine="567"/>
        <w:jc w:val="both"/>
      </w:pPr>
      <w:r>
        <w:rPr>
          <w:rFonts w:ascii="Arial" w:cs="Arial" w:eastAsia="Arial" w:hAnsi="Arial"/>
          <w:sz w:val="24"/>
          <w:szCs w:val="24"/>
        </w:rPr>
        <w:t xml:space="preserve">в) способы сохранения электронных данных;</w:t>
      </w:r>
    </w:p>
    <w:p>
      <w:pPr>
        <w:spacing w:after="60"/>
        <w:ind w:firstLine="567"/>
        <w:jc w:val="both"/>
      </w:pPr>
      <w:r>
        <w:rPr>
          <w:rFonts w:ascii="Arial" w:cs="Arial" w:eastAsia="Arial" w:hAnsi="Arial"/>
          <w:sz w:val="24"/>
          <w:szCs w:val="24"/>
        </w:rPr>
        <w:t xml:space="preserve">г) способы восстановления данных в случае их утраты;</w:t>
      </w:r>
    </w:p>
    <w:p>
      <w:pPr>
        <w:spacing w:after="60"/>
        <w:ind w:firstLine="567"/>
        <w:jc w:val="both"/>
      </w:pPr>
      <w:r>
        <w:rPr>
          <w:rFonts w:ascii="Arial" w:cs="Arial" w:eastAsia="Arial" w:hAnsi="Arial"/>
          <w:sz w:val="24"/>
          <w:szCs w:val="24"/>
        </w:rPr>
        <w:t xml:space="preserve">д) способы продолжения деятельности по учету имущества и осуществлению контрольных функций в случае отказа компьютерного оборудования и (или) программного обеспечения.</w:t>
      </w:r>
    </w:p>
    <w:p>
      <w:pPr>
        <w:spacing w:after="200" w:before="200"/>
        <w:jc w:val="center"/>
      </w:pPr>
      <w:r>
        <w:rPr>
          <w:rFonts w:ascii="Arial" w:cs="Arial" w:eastAsia="Arial" w:hAnsi="Arial"/>
          <w:b/>
          <w:bCs/>
          <w:sz w:val="24"/>
          <w:szCs w:val="24"/>
        </w:rPr>
        <w:t xml:space="preserve">6. Требования к деятельности депозитария</w:t>
      </w:r>
    </w:p>
    <w:p>
      <w:pPr>
        <w:spacing w:after="60"/>
        <w:ind w:firstLine="567"/>
        <w:jc w:val="both"/>
      </w:pPr>
      <w:r>
        <w:rPr>
          <w:rFonts w:ascii="Arial" w:cs="Arial" w:eastAsia="Arial" w:hAnsi="Arial"/>
          <w:sz w:val="24"/>
          <w:szCs w:val="24"/>
        </w:rPr>
        <w:t xml:space="preserve">14. Уведомлять уполномоченный государственный орган в сфере регулирования и надзора за деятельности накопительных пенсионных фондов (далее - уполномоченный государственный орган) соответствующую управляющую компанию о выявленных в ходе осуществления контроля существенных нарушениях, не позднее одного рабочего дня, следующего за днем их выявления.</w:t>
      </w:r>
    </w:p>
    <w:p>
      <w:pPr>
        <w:spacing w:after="60"/>
        <w:ind w:firstLine="567"/>
        <w:jc w:val="both"/>
      </w:pPr>
      <w:r>
        <w:rPr>
          <w:rFonts w:ascii="Arial" w:cs="Arial" w:eastAsia="Arial" w:hAnsi="Arial"/>
          <w:sz w:val="24"/>
          <w:szCs w:val="24"/>
        </w:rPr>
        <w:t xml:space="preserve">15. Представлять субъектам отношений отчетность о выполнении операций, видах и стоимости ценных бумаг, учитываемых в соответствии с договорами, по формам и в сроки, установленные Правительством Кыргызской Республики.</w:t>
      </w:r>
    </w:p>
    <w:p>
      <w:pPr>
        <w:spacing w:after="60"/>
        <w:ind w:firstLine="567"/>
        <w:jc w:val="both"/>
      </w:pPr>
      <w:r>
        <w:rPr>
          <w:rFonts w:ascii="Arial" w:cs="Arial" w:eastAsia="Arial" w:hAnsi="Arial"/>
          <w:sz w:val="24"/>
          <w:szCs w:val="24"/>
        </w:rPr>
        <w:t xml:space="preserve">16. В порядке и сроки, установленные договором об оказании услуг депозитария, информировать уполномоченный государственный орган об отзыве или о приостановлении разрешения на осуществление депозитарной деятельности и деятельности депозитария инвестиционных фондов, паевых инвестиционных фондов и накопительных пенсионных фондов, выдаваемого в соответствии с законодательством Кыргызской Республики, и других изменениях в учредительных документах.</w:t>
      </w:r>
    </w:p>
    <w:p>
      <w:pPr>
        <w:spacing w:after="60"/>
        <w:ind w:firstLine="567"/>
        <w:jc w:val="both"/>
      </w:pPr>
      <w:r>
        <w:rPr>
          <w:rFonts w:ascii="Arial" w:cs="Arial" w:eastAsia="Arial" w:hAnsi="Arial"/>
          <w:sz w:val="24"/>
          <w:szCs w:val="24"/>
        </w:rPr>
        <w:t xml:space="preserve">17. В порядке и сроки, установленные договором об оказании услуг депозитария, предоставлять уполномоченному государственному органу информацию о сделках, совершаемых со средствами пенсионных накоплений, а также информацию о стоимости чистых активов, находящихся в управлении по договорам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18. Обеспечивать в порядке, установленном Правительством Кыргызской Республики и являющемся неотъемлемой частью договора об оказании услуг депозитария, процесс передачи активов от управляющей компании в НПФ в случае прекращения (расторжения) договора доверительного управления средствами пенсионных накоплений.</w:t>
      </w:r>
    </w:p>
    <w:p>
      <w:pPr>
        <w:spacing w:after="60"/>
        <w:ind w:firstLine="567"/>
        <w:jc w:val="both"/>
      </w:pPr>
      <w:r>
        <w:rPr>
          <w:rFonts w:ascii="Arial" w:cs="Arial" w:eastAsia="Arial" w:hAnsi="Arial"/>
          <w:sz w:val="24"/>
          <w:szCs w:val="24"/>
        </w:rPr>
        <w:t xml:space="preserve">19. Страховать в порядке и на условиях, предусмотренных законодательством Кыргызской Республики, риск своей ответственности, которая может наступить вследствие нарушения договора об оказании услуг депозитария.</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zfkvzhfquol0wwctehbn" Type="http://schemas.openxmlformats.org/officeDocument/2006/relationships/hyperlink" Target="http://kodeks.duckdns.org/document/230048942" TargetMode="External"/><Relationship Id="rIdvmd6vxyiuiqlfsxwkwhql" Type="http://schemas.openxmlformats.org/officeDocument/2006/relationships/hyperlink" Target="http://kodeks.duckdns.org/document/98295"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2026-09-23T14:06:05.549Z</dcterms:created>
  <dcterms:modified xsi:type="dcterms:W3CDTF">2026-09-23T14:06:05.549Z</dcterms:modified>
</cp:coreProperties>
</file>

<file path=docProps/custom.xml><?xml version="1.0" encoding="utf-8"?>
<Properties xmlns="http://schemas.openxmlformats.org/officeDocument/2006/custom-properties" xmlns:vt="http://schemas.openxmlformats.org/officeDocument/2006/docPropsVTypes"/>
</file>