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mygwl85rlt3-4ixy05he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ind w:firstLine="39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уведомления и перечне документов и сведений, представляемых таможенному органу при прибытии и убытии товаров и транспортных средств на/с таможенную территорию Евразийского экономического союза при перевозке товаров автомобильным, железнодорожным, воздушным и иными видами транспорта</w:t>
      </w:r>
    </w:p>
    <w:p>
      <w:pPr>
        <w:spacing w:after="120" w:before="200"/>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 Настоящее Положение определяет порядок и условия уведомления, а также перечень документов и сведений, представляемых таможенному органу при прибытии и убытии товаров и транспортных средств на/с таможенную территорию Евразийского экономического союза при перевозке товаров автомобильным, железнодорожным, воздушным и иными видами транспорта.</w:t>
      </w:r>
    </w:p>
    <w:p>
      <w:pPr>
        <w:spacing w:after="120"/>
        <w:ind w:firstLine="397"/>
        <w:jc w:val="both"/>
      </w:pPr>
      <w:r>
        <w:rPr>
          <w:rFonts w:ascii="Arial" w:cs="Arial" w:eastAsia="Arial" w:hAnsi="Arial"/>
          <w:sz w:val="24"/>
          <w:szCs w:val="24"/>
        </w:rPr>
        <w:t xml:space="preserve">2. Лицо, перемещающее товары, перевозчик, таможенный перевозчик, а также лицо, уполномоченное на совершение определенных действий в отношении перемещаемого товара, обязаны уведомить таможенный орган о прибытии или убытии товаров и транспортных средств на/с таможенную территорию Евразийского экономического союза.</w:t>
      </w:r>
    </w:p>
    <w:p>
      <w:pPr>
        <w:spacing w:after="120"/>
        <w:ind w:firstLine="397"/>
        <w:jc w:val="both"/>
      </w:pPr>
      <w:r>
        <w:rPr>
          <w:rFonts w:ascii="Arial" w:cs="Arial" w:eastAsia="Arial" w:hAnsi="Arial"/>
          <w:sz w:val="24"/>
          <w:szCs w:val="24"/>
        </w:rPr>
        <w:t xml:space="preserve">3. Документы и сведения представляются таможенному органу до или одновременно с прибытием или убытием товаров и транспортных средств на/с таможенную территорию Евразийского экономического союза.</w:t>
      </w:r>
    </w:p>
    <w:p>
      <w:pPr>
        <w:spacing w:after="120"/>
        <w:ind w:firstLine="397"/>
        <w:jc w:val="both"/>
      </w:pPr>
      <w:r>
        <w:rPr>
          <w:rFonts w:ascii="Arial" w:cs="Arial" w:eastAsia="Arial" w:hAnsi="Arial"/>
          <w:sz w:val="24"/>
          <w:szCs w:val="24"/>
        </w:rPr>
        <w:t xml:space="preserve">4. Уведомление о прибытии или убытии товаров и транспортных средств на/с таможенную территорию Евразийского экономического союза осуществляется путем направления таможенному органу в письменной, электронной или в иной форме информации лицами, указанными в пункте 2 настоящего Положения. Поданное уведомление подлежит регистрации таможенным органом в отдельных журналах регистрации прибытия и убытия путем внесения записей (приложения </w:t>
      </w:r>
      <w:hyperlink w:history="1" r:id="rIdi4parcp0l4z5ktq4cf1pz">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flub0dopebwqdfaiy2qsj">
        <w:r>
          <w:rPr>
            <w:rFonts w:ascii="Arial" w:cs="Arial" w:eastAsia="Arial" w:hAnsi="Arial"/>
            <w:color w:val="1D4ED8"/>
            <w:sz w:val="24"/>
            <w:szCs w:val="24"/>
            <w:u w:val="single"/>
          </w:rPr>
          <w:t xml:space="preserve">2</w:t>
        </w:r>
      </w:hyperlink>
      <w:r>
        <w:rPr>
          <w:rFonts w:ascii="Arial" w:cs="Arial" w:eastAsia="Arial" w:hAnsi="Arial"/>
          <w:sz w:val="24"/>
          <w:szCs w:val="24"/>
        </w:rPr>
        <w:t xml:space="preserve">). При этом в уведомление должностное лицо таможенного органа вносит запись "С уведомлением ознакомлен", заверяет подписью и личной номерной печатью.</w:t>
      </w:r>
    </w:p>
    <w:p>
      <w:pPr>
        <w:spacing w:after="120"/>
        <w:ind w:firstLine="397"/>
        <w:jc w:val="both"/>
      </w:pPr>
      <w:r>
        <w:rPr>
          <w:rFonts w:ascii="Arial" w:cs="Arial" w:eastAsia="Arial" w:hAnsi="Arial"/>
          <w:sz w:val="24"/>
          <w:szCs w:val="24"/>
        </w:rPr>
        <w:t xml:space="preserve">5. Письменной формой уведомления, представляемой лицами, указанными в пункте 2 настоящего Положения, считается подача документов и сведений, имеющих отношение к перемещаемым товарам и транспортным средствам.</w:t>
      </w:r>
    </w:p>
    <w:p>
      <w:pPr>
        <w:spacing w:after="120"/>
        <w:ind w:firstLine="397"/>
        <w:jc w:val="both"/>
      </w:pPr>
      <w:r>
        <w:rPr>
          <w:rFonts w:ascii="Arial" w:cs="Arial" w:eastAsia="Arial" w:hAnsi="Arial"/>
          <w:sz w:val="24"/>
          <w:szCs w:val="24"/>
        </w:rPr>
        <w:t xml:space="preserve">2. Документы и сведения, представляемые таможенному органу при прибытии товаров и транспортных средств на таможенную территорию Евразийского экономического союза</w:t>
      </w:r>
    </w:p>
    <w:p>
      <w:pPr>
        <w:spacing w:after="120"/>
        <w:ind w:firstLine="397"/>
        <w:jc w:val="both"/>
      </w:pPr>
      <w:r>
        <w:rPr>
          <w:rFonts w:ascii="Arial" w:cs="Arial" w:eastAsia="Arial" w:hAnsi="Arial"/>
          <w:sz w:val="24"/>
          <w:szCs w:val="24"/>
        </w:rPr>
        <w:t xml:space="preserve">6. При прибытии товаров на таможенную территорию Евразийского экономического союза представляются следующие документы и сведения:</w:t>
      </w:r>
    </w:p>
    <w:p>
      <w:pPr>
        <w:spacing w:after="120"/>
        <w:ind w:firstLine="397"/>
        <w:jc w:val="both"/>
      </w:pPr>
      <w:r>
        <w:rPr>
          <w:rFonts w:ascii="Arial" w:cs="Arial" w:eastAsia="Arial" w:hAnsi="Arial"/>
          <w:sz w:val="24"/>
          <w:szCs w:val="24"/>
        </w:rPr>
        <w:t xml:space="preserve">1) при международной перевозке автомобильным транспортом:</w:t>
      </w:r>
    </w:p>
    <w:p>
      <w:pPr>
        <w:spacing w:after="120"/>
        <w:ind w:firstLine="397"/>
        <w:jc w:val="both"/>
      </w:pPr>
      <w:r>
        <w:rPr>
          <w:rFonts w:ascii="Arial" w:cs="Arial" w:eastAsia="Arial" w:hAnsi="Arial"/>
          <w:sz w:val="24"/>
          <w:szCs w:val="24"/>
        </w:rPr>
        <w:t xml:space="preserve">а) документы:</w:t>
      </w:r>
    </w:p>
    <w:p>
      <w:pPr>
        <w:spacing w:after="120"/>
        <w:ind w:firstLine="397"/>
        <w:jc w:val="both"/>
      </w:pPr>
      <w:r>
        <w:rPr>
          <w:rFonts w:ascii="Arial" w:cs="Arial" w:eastAsia="Arial" w:hAnsi="Arial"/>
          <w:sz w:val="24"/>
          <w:szCs w:val="24"/>
        </w:rPr>
        <w:t xml:space="preserve">- документы на транспортное средство международной перевозки;</w:t>
      </w:r>
    </w:p>
    <w:p>
      <w:pPr>
        <w:spacing w:after="120"/>
        <w:ind w:firstLine="397"/>
        <w:jc w:val="both"/>
      </w:pPr>
      <w:r>
        <w:rPr>
          <w:rFonts w:ascii="Arial" w:cs="Arial" w:eastAsia="Arial" w:hAnsi="Arial"/>
          <w:sz w:val="24"/>
          <w:szCs w:val="24"/>
        </w:rPr>
        <w:t xml:space="preserve">- транспортные (перевозочные) документы;</w:t>
      </w:r>
    </w:p>
    <w:p>
      <w:pPr>
        <w:spacing w:after="120"/>
        <w:ind w:firstLine="397"/>
        <w:jc w:val="both"/>
      </w:pPr>
      <w:r>
        <w:rPr>
          <w:rFonts w:ascii="Arial" w:cs="Arial" w:eastAsia="Arial" w:hAnsi="Arial"/>
          <w:sz w:val="24"/>
          <w:szCs w:val="24"/>
        </w:rPr>
        <w:t xml:space="preserve">- документ, сопровождающий международные почтовые отправления при их перевозке, определенный актами Всемирного почтового союза;</w:t>
      </w:r>
    </w:p>
    <w:p>
      <w:pPr>
        <w:spacing w:after="120"/>
        <w:ind w:firstLine="397"/>
        <w:jc w:val="both"/>
      </w:pPr>
      <w:r>
        <w:rPr>
          <w:rFonts w:ascii="Arial" w:cs="Arial" w:eastAsia="Arial" w:hAnsi="Arial"/>
          <w:sz w:val="24"/>
          <w:szCs w:val="24"/>
        </w:rPr>
        <w:t xml:space="preserve">- имеющиеся коммерческие документы на перевозимые товары;</w:t>
      </w:r>
    </w:p>
    <w:p>
      <w:pPr>
        <w:spacing w:after="120"/>
        <w:ind w:firstLine="397"/>
        <w:jc w:val="both"/>
      </w:pPr>
      <w:r>
        <w:rPr>
          <w:rFonts w:ascii="Arial" w:cs="Arial" w:eastAsia="Arial" w:hAnsi="Arial"/>
          <w:sz w:val="24"/>
          <w:szCs w:val="24"/>
        </w:rPr>
        <w:t xml:space="preserve">б) сведения:</w:t>
      </w:r>
    </w:p>
    <w:p>
      <w:pPr>
        <w:spacing w:after="120"/>
        <w:ind w:firstLine="397"/>
        <w:jc w:val="both"/>
      </w:pPr>
      <w:r>
        <w:rPr>
          <w:rFonts w:ascii="Arial" w:cs="Arial" w:eastAsia="Arial" w:hAnsi="Arial"/>
          <w:sz w:val="24"/>
          <w:szCs w:val="24"/>
        </w:rPr>
        <w:t xml:space="preserve">- о государственной регистрации транспортного средства международной перевозки;</w:t>
      </w:r>
    </w:p>
    <w:p>
      <w:pPr>
        <w:spacing w:after="120"/>
        <w:ind w:firstLine="397"/>
        <w:jc w:val="both"/>
      </w:pPr>
      <w:r>
        <w:rPr>
          <w:rFonts w:ascii="Arial" w:cs="Arial" w:eastAsia="Arial" w:hAnsi="Arial"/>
          <w:sz w:val="24"/>
          <w:szCs w:val="24"/>
        </w:rPr>
        <w:t xml:space="preserve">- наименование и адрес лиц, указанных в пункте 2 настоящего Положения, перемещающих товары;</w:t>
      </w:r>
    </w:p>
    <w:p>
      <w:pPr>
        <w:spacing w:after="120"/>
        <w:ind w:firstLine="397"/>
        <w:jc w:val="both"/>
      </w:pPr>
      <w:r>
        <w:rPr>
          <w:rFonts w:ascii="Arial" w:cs="Arial" w:eastAsia="Arial" w:hAnsi="Arial"/>
          <w:sz w:val="24"/>
          <w:szCs w:val="24"/>
        </w:rPr>
        <w:t xml:space="preserve">- наименование страны отправления и страны назначения товаров;</w:t>
      </w:r>
    </w:p>
    <w:p>
      <w:pPr>
        <w:spacing w:after="120"/>
        <w:ind w:firstLine="397"/>
        <w:jc w:val="both"/>
      </w:pPr>
      <w:r>
        <w:rPr>
          <w:rFonts w:ascii="Arial" w:cs="Arial" w:eastAsia="Arial" w:hAnsi="Arial"/>
          <w:sz w:val="24"/>
          <w:szCs w:val="24"/>
        </w:rPr>
        <w:t xml:space="preserve">- наименование и адрес отправителя и получателя товаров;</w:t>
      </w:r>
    </w:p>
    <w:p>
      <w:pPr>
        <w:spacing w:after="120"/>
        <w:ind w:firstLine="397"/>
        <w:jc w:val="both"/>
      </w:pPr>
      <w:r>
        <w:rPr>
          <w:rFonts w:ascii="Arial" w:cs="Arial" w:eastAsia="Arial" w:hAnsi="Arial"/>
          <w:sz w:val="24"/>
          <w:szCs w:val="24"/>
        </w:rPr>
        <w:t xml:space="preserve">- о продавце и получателе товаров в соответствии с имеющимися коммерческими документами;</w:t>
      </w:r>
    </w:p>
    <w:p>
      <w:pPr>
        <w:spacing w:after="120"/>
        <w:ind w:firstLine="397"/>
        <w:jc w:val="both"/>
      </w:pPr>
      <w:r>
        <w:rPr>
          <w:rFonts w:ascii="Arial" w:cs="Arial" w:eastAsia="Arial" w:hAnsi="Arial"/>
          <w:sz w:val="24"/>
          <w:szCs w:val="24"/>
        </w:rPr>
        <w:t xml:space="preserve">- о количестве грузовых мест, об их маркировке и о видах упаковок товаров;</w:t>
      </w:r>
    </w:p>
    <w:p>
      <w:pPr>
        <w:spacing w:after="120"/>
        <w:ind w:firstLine="397"/>
        <w:jc w:val="both"/>
      </w:pPr>
      <w:r>
        <w:rPr>
          <w:rFonts w:ascii="Arial" w:cs="Arial" w:eastAsia="Arial" w:hAnsi="Arial"/>
          <w:sz w:val="24"/>
          <w:szCs w:val="24"/>
        </w:rPr>
        <w:t xml:space="preserve">- наименование, а также коды товаров в соответствии с Гармонизированной системой описания и кодирования товаров или Товарной номенклатурой внешнеэкономической деятельности не менее чем на уровне первых четырех знаков;</w:t>
      </w:r>
    </w:p>
    <w:p>
      <w:pPr>
        <w:spacing w:after="120"/>
        <w:ind w:firstLine="397"/>
        <w:jc w:val="both"/>
      </w:pPr>
      <w:r>
        <w:rPr>
          <w:rFonts w:ascii="Arial" w:cs="Arial" w:eastAsia="Arial" w:hAnsi="Arial"/>
          <w:sz w:val="24"/>
          <w:szCs w:val="24"/>
        </w:rPr>
        <w:t xml:space="preserve">- вес брутто товаров (в килограммах) либо объем товаров (в кубических метрах), за исключением крупногабаритных грузов;</w:t>
      </w:r>
    </w:p>
    <w:p>
      <w:pPr>
        <w:spacing w:after="120"/>
        <w:ind w:firstLine="397"/>
        <w:jc w:val="both"/>
      </w:pPr>
      <w:r>
        <w:rPr>
          <w:rFonts w:ascii="Arial" w:cs="Arial" w:eastAsia="Arial" w:hAnsi="Arial"/>
          <w:sz w:val="24"/>
          <w:szCs w:val="24"/>
        </w:rPr>
        <w:t xml:space="preserve">- о наличии товаров, ввоз которых на таможенную территорию Евразийского экономического союза запрещен или ограничен;</w:t>
      </w:r>
    </w:p>
    <w:p>
      <w:pPr>
        <w:spacing w:after="120"/>
        <w:ind w:firstLine="397"/>
        <w:jc w:val="both"/>
      </w:pPr>
      <w:r>
        <w:rPr>
          <w:rFonts w:ascii="Arial" w:cs="Arial" w:eastAsia="Arial" w:hAnsi="Arial"/>
          <w:sz w:val="24"/>
          <w:szCs w:val="24"/>
        </w:rPr>
        <w:t xml:space="preserve">- о месте и дате составления международной товаротранспортной накладной;</w:t>
      </w:r>
    </w:p>
    <w:p>
      <w:pPr>
        <w:spacing w:after="120"/>
        <w:ind w:firstLine="397"/>
        <w:jc w:val="both"/>
      </w:pPr>
      <w:r>
        <w:rPr>
          <w:rFonts w:ascii="Arial" w:cs="Arial" w:eastAsia="Arial" w:hAnsi="Arial"/>
          <w:sz w:val="24"/>
          <w:szCs w:val="24"/>
        </w:rPr>
        <w:t xml:space="preserve">2) при международной перевозке воздушным транспортом:</w:t>
      </w:r>
    </w:p>
    <w:p>
      <w:pPr>
        <w:spacing w:after="120"/>
        <w:ind w:firstLine="397"/>
        <w:jc w:val="both"/>
      </w:pPr>
      <w:r>
        <w:rPr>
          <w:rFonts w:ascii="Arial" w:cs="Arial" w:eastAsia="Arial" w:hAnsi="Arial"/>
          <w:sz w:val="24"/>
          <w:szCs w:val="24"/>
        </w:rPr>
        <w:t xml:space="preserve">а) документы:</w:t>
      </w:r>
    </w:p>
    <w:p>
      <w:pPr>
        <w:spacing w:after="120"/>
        <w:ind w:firstLine="397"/>
        <w:jc w:val="both"/>
      </w:pPr>
      <w:r>
        <w:rPr>
          <w:rFonts w:ascii="Arial" w:cs="Arial" w:eastAsia="Arial" w:hAnsi="Arial"/>
          <w:sz w:val="24"/>
          <w:szCs w:val="24"/>
        </w:rPr>
        <w:t xml:space="preserve">- стандартный документ перевозчика, предусмотренный международными договорами в области гражданской авиации (генеральная декларация);</w:t>
      </w:r>
    </w:p>
    <w:p>
      <w:pPr>
        <w:spacing w:after="120"/>
        <w:ind w:firstLine="397"/>
        <w:jc w:val="both"/>
      </w:pPr>
      <w:r>
        <w:rPr>
          <w:rFonts w:ascii="Arial" w:cs="Arial" w:eastAsia="Arial" w:hAnsi="Arial"/>
          <w:sz w:val="24"/>
          <w:szCs w:val="24"/>
        </w:rPr>
        <w:t xml:space="preserve">- документ, содержащий сведения о перевозимых на борту воздушного судна товарах (грузовая ведомость);</w:t>
      </w:r>
    </w:p>
    <w:p>
      <w:pPr>
        <w:spacing w:after="120"/>
        <w:ind w:firstLine="397"/>
        <w:jc w:val="both"/>
      </w:pPr>
      <w:r>
        <w:rPr>
          <w:rFonts w:ascii="Arial" w:cs="Arial" w:eastAsia="Arial" w:hAnsi="Arial"/>
          <w:sz w:val="24"/>
          <w:szCs w:val="24"/>
        </w:rPr>
        <w:t xml:space="preserve">- документ, содержащий сведения о бортовых припасах;</w:t>
      </w:r>
    </w:p>
    <w:p>
      <w:pPr>
        <w:spacing w:after="120"/>
        <w:ind w:firstLine="397"/>
        <w:jc w:val="both"/>
      </w:pPr>
      <w:r>
        <w:rPr>
          <w:rFonts w:ascii="Arial" w:cs="Arial" w:eastAsia="Arial" w:hAnsi="Arial"/>
          <w:sz w:val="24"/>
          <w:szCs w:val="24"/>
        </w:rPr>
        <w:t xml:space="preserve">- транспортные (перевозочные) документы;</w:t>
      </w:r>
    </w:p>
    <w:p>
      <w:pPr>
        <w:spacing w:after="120"/>
        <w:ind w:firstLine="397"/>
        <w:jc w:val="both"/>
      </w:pPr>
      <w:r>
        <w:rPr>
          <w:rFonts w:ascii="Arial" w:cs="Arial" w:eastAsia="Arial" w:hAnsi="Arial"/>
          <w:sz w:val="24"/>
          <w:szCs w:val="24"/>
        </w:rPr>
        <w:t xml:space="preserve">- имеющиеся у перевозчика коммерческие документы на перевозимые товары;</w:t>
      </w:r>
    </w:p>
    <w:p>
      <w:pPr>
        <w:spacing w:after="120"/>
        <w:ind w:firstLine="397"/>
        <w:jc w:val="both"/>
      </w:pPr>
      <w:r>
        <w:rPr>
          <w:rFonts w:ascii="Arial" w:cs="Arial" w:eastAsia="Arial" w:hAnsi="Arial"/>
          <w:sz w:val="24"/>
          <w:szCs w:val="24"/>
        </w:rPr>
        <w:t xml:space="preserve">- документ, содержащий сведения о перевозимых на борту пассажирах и их багаже (пассажирская ведомость);</w:t>
      </w:r>
    </w:p>
    <w:p>
      <w:pPr>
        <w:spacing w:after="120"/>
        <w:ind w:firstLine="397"/>
        <w:jc w:val="both"/>
      </w:pPr>
      <w:r>
        <w:rPr>
          <w:rFonts w:ascii="Arial" w:cs="Arial" w:eastAsia="Arial" w:hAnsi="Arial"/>
          <w:sz w:val="24"/>
          <w:szCs w:val="24"/>
        </w:rPr>
        <w:t xml:space="preserve">- документ, сопровождающий международные почтовые отправления при их перевозке, определенный актами Всемирного почтового союза;</w:t>
      </w:r>
    </w:p>
    <w:p>
      <w:pPr>
        <w:spacing w:after="120"/>
        <w:ind w:firstLine="397"/>
        <w:jc w:val="both"/>
      </w:pPr>
      <w:r>
        <w:rPr>
          <w:rFonts w:ascii="Arial" w:cs="Arial" w:eastAsia="Arial" w:hAnsi="Arial"/>
          <w:sz w:val="24"/>
          <w:szCs w:val="24"/>
        </w:rPr>
        <w:t xml:space="preserve">б) сведения:</w:t>
      </w:r>
    </w:p>
    <w:p>
      <w:pPr>
        <w:spacing w:after="120"/>
        <w:ind w:firstLine="397"/>
        <w:jc w:val="both"/>
      </w:pPr>
      <w:r>
        <w:rPr>
          <w:rFonts w:ascii="Arial" w:cs="Arial" w:eastAsia="Arial" w:hAnsi="Arial"/>
          <w:sz w:val="24"/>
          <w:szCs w:val="24"/>
        </w:rPr>
        <w:t xml:space="preserve">- указание знаков национальной принадлежности и регистрационных знаков судна;</w:t>
      </w:r>
    </w:p>
    <w:p>
      <w:pPr>
        <w:spacing w:after="120"/>
        <w:ind w:firstLine="397"/>
        <w:jc w:val="both"/>
      </w:pPr>
      <w:r>
        <w:rPr>
          <w:rFonts w:ascii="Arial" w:cs="Arial" w:eastAsia="Arial" w:hAnsi="Arial"/>
          <w:sz w:val="24"/>
          <w:szCs w:val="24"/>
        </w:rPr>
        <w:t xml:space="preserve">- номер рейса, указание маршрута полета, пункта вылета, пункта прибытия судна;</w:t>
      </w:r>
    </w:p>
    <w:p>
      <w:pPr>
        <w:spacing w:after="120"/>
        <w:ind w:firstLine="397"/>
        <w:jc w:val="both"/>
      </w:pPr>
      <w:r>
        <w:rPr>
          <w:rFonts w:ascii="Arial" w:cs="Arial" w:eastAsia="Arial" w:hAnsi="Arial"/>
          <w:sz w:val="24"/>
          <w:szCs w:val="24"/>
        </w:rPr>
        <w:t xml:space="preserve">- наименование эксплуатанта судна;</w:t>
      </w:r>
    </w:p>
    <w:p>
      <w:pPr>
        <w:spacing w:after="120"/>
        <w:ind w:firstLine="397"/>
        <w:jc w:val="both"/>
      </w:pPr>
      <w:r>
        <w:rPr>
          <w:rFonts w:ascii="Arial" w:cs="Arial" w:eastAsia="Arial" w:hAnsi="Arial"/>
          <w:sz w:val="24"/>
          <w:szCs w:val="24"/>
        </w:rPr>
        <w:t xml:space="preserve">- о количестве членов экипажа;</w:t>
      </w:r>
    </w:p>
    <w:p>
      <w:pPr>
        <w:spacing w:after="120"/>
        <w:ind w:firstLine="397"/>
        <w:jc w:val="both"/>
      </w:pPr>
      <w:r>
        <w:rPr>
          <w:rFonts w:ascii="Arial" w:cs="Arial" w:eastAsia="Arial" w:hAnsi="Arial"/>
          <w:sz w:val="24"/>
          <w:szCs w:val="24"/>
        </w:rPr>
        <w:t xml:space="preserve">- о количестве пассажиров на судне, их фамилии и инициалы, наименование пунктов посадки и высадки;</w:t>
      </w:r>
    </w:p>
    <w:p>
      <w:pPr>
        <w:spacing w:after="120"/>
        <w:ind w:firstLine="397"/>
        <w:jc w:val="both"/>
      </w:pPr>
      <w:r>
        <w:rPr>
          <w:rFonts w:ascii="Arial" w:cs="Arial" w:eastAsia="Arial" w:hAnsi="Arial"/>
          <w:sz w:val="24"/>
          <w:szCs w:val="24"/>
        </w:rPr>
        <w:t xml:space="preserve">- наименование товаров;</w:t>
      </w:r>
    </w:p>
    <w:p>
      <w:pPr>
        <w:spacing w:after="120"/>
        <w:ind w:firstLine="397"/>
        <w:jc w:val="both"/>
      </w:pPr>
      <w:r>
        <w:rPr>
          <w:rFonts w:ascii="Arial" w:cs="Arial" w:eastAsia="Arial" w:hAnsi="Arial"/>
          <w:sz w:val="24"/>
          <w:szCs w:val="24"/>
        </w:rPr>
        <w:t xml:space="preserve">- номер грузовой накладной, количество мест по каждой грузовой накладной;</w:t>
      </w:r>
    </w:p>
    <w:p>
      <w:pPr>
        <w:spacing w:after="120"/>
        <w:ind w:firstLine="397"/>
        <w:jc w:val="both"/>
      </w:pPr>
      <w:r>
        <w:rPr>
          <w:rFonts w:ascii="Arial" w:cs="Arial" w:eastAsia="Arial" w:hAnsi="Arial"/>
          <w:sz w:val="24"/>
          <w:szCs w:val="24"/>
        </w:rPr>
        <w:t xml:space="preserve">- наименование пункта погрузки и пункта выгрузки товаров;</w:t>
      </w:r>
    </w:p>
    <w:p>
      <w:pPr>
        <w:spacing w:after="120"/>
        <w:ind w:firstLine="397"/>
        <w:jc w:val="both"/>
      </w:pPr>
      <w:r>
        <w:rPr>
          <w:rFonts w:ascii="Arial" w:cs="Arial" w:eastAsia="Arial" w:hAnsi="Arial"/>
          <w:sz w:val="24"/>
          <w:szCs w:val="24"/>
        </w:rPr>
        <w:t xml:space="preserve">- о количестве бортовых припасов, погружаемых на судно или выгружаемых с него;</w:t>
      </w:r>
    </w:p>
    <w:p>
      <w:pPr>
        <w:spacing w:after="120"/>
        <w:ind w:firstLine="397"/>
        <w:jc w:val="both"/>
      </w:pPr>
      <w:r>
        <w:rPr>
          <w:rFonts w:ascii="Arial" w:cs="Arial" w:eastAsia="Arial" w:hAnsi="Arial"/>
          <w:sz w:val="24"/>
          <w:szCs w:val="24"/>
        </w:rPr>
        <w:t xml:space="preserve">- о наличии (об отсутствии) на борту судна международных почтовых отправлений;</w:t>
      </w:r>
    </w:p>
    <w:p>
      <w:pPr>
        <w:spacing w:after="120"/>
        <w:ind w:firstLine="397"/>
        <w:jc w:val="both"/>
      </w:pPr>
      <w:r>
        <w:rPr>
          <w:rFonts w:ascii="Arial" w:cs="Arial" w:eastAsia="Arial" w:hAnsi="Arial"/>
          <w:sz w:val="24"/>
          <w:szCs w:val="24"/>
        </w:rPr>
        <w:t xml:space="preserve">- о наличии (об отсутствии) на борту судна товаров, ввоз которых на таможенную территорию Евразийского экономического союза запрещен или ограничен, лекарственные средства, в составе которых содержатся наркотические, сильнодействующие средства, психотропные и ядовитые вещества, оружие, боеприпасы;</w:t>
      </w:r>
    </w:p>
    <w:p>
      <w:pPr>
        <w:spacing w:after="120"/>
        <w:ind w:firstLine="397"/>
        <w:jc w:val="both"/>
      </w:pPr>
      <w:r>
        <w:rPr>
          <w:rFonts w:ascii="Arial" w:cs="Arial" w:eastAsia="Arial" w:hAnsi="Arial"/>
          <w:sz w:val="24"/>
          <w:szCs w:val="24"/>
        </w:rPr>
        <w:t xml:space="preserve">3) при международной перевозке железнодорожным транспортом:</w:t>
      </w:r>
    </w:p>
    <w:p>
      <w:pPr>
        <w:spacing w:after="120"/>
        <w:ind w:firstLine="397"/>
        <w:jc w:val="both"/>
      </w:pPr>
      <w:r>
        <w:rPr>
          <w:rFonts w:ascii="Arial" w:cs="Arial" w:eastAsia="Arial" w:hAnsi="Arial"/>
          <w:sz w:val="24"/>
          <w:szCs w:val="24"/>
        </w:rPr>
        <w:t xml:space="preserve">а) документы:</w:t>
      </w:r>
    </w:p>
    <w:p>
      <w:pPr>
        <w:spacing w:after="120"/>
        <w:ind w:firstLine="397"/>
        <w:jc w:val="both"/>
      </w:pPr>
      <w:r>
        <w:rPr>
          <w:rFonts w:ascii="Arial" w:cs="Arial" w:eastAsia="Arial" w:hAnsi="Arial"/>
          <w:sz w:val="24"/>
          <w:szCs w:val="24"/>
        </w:rPr>
        <w:t xml:space="preserve">- транспортные (перевозочные) документы;</w:t>
      </w:r>
    </w:p>
    <w:p>
      <w:pPr>
        <w:spacing w:after="120"/>
        <w:ind w:firstLine="397"/>
        <w:jc w:val="both"/>
      </w:pPr>
      <w:r>
        <w:rPr>
          <w:rFonts w:ascii="Arial" w:cs="Arial" w:eastAsia="Arial" w:hAnsi="Arial"/>
          <w:sz w:val="24"/>
          <w:szCs w:val="24"/>
        </w:rPr>
        <w:t xml:space="preserve">- передаточная ведомость на железнодорожный подвижной состав;</w:t>
      </w:r>
    </w:p>
    <w:p>
      <w:pPr>
        <w:spacing w:after="120"/>
        <w:ind w:firstLine="397"/>
        <w:jc w:val="both"/>
      </w:pPr>
      <w:r>
        <w:rPr>
          <w:rFonts w:ascii="Arial" w:cs="Arial" w:eastAsia="Arial" w:hAnsi="Arial"/>
          <w:sz w:val="24"/>
          <w:szCs w:val="24"/>
        </w:rPr>
        <w:t xml:space="preserve">- документ, содержащий сведения о припасах;</w:t>
      </w:r>
    </w:p>
    <w:p>
      <w:pPr>
        <w:spacing w:after="120"/>
        <w:ind w:firstLine="397"/>
        <w:jc w:val="both"/>
      </w:pPr>
      <w:r>
        <w:rPr>
          <w:rFonts w:ascii="Arial" w:cs="Arial" w:eastAsia="Arial" w:hAnsi="Arial"/>
          <w:sz w:val="24"/>
          <w:szCs w:val="24"/>
        </w:rPr>
        <w:t xml:space="preserve">- документ, сопровождающий международные почтовые отправления при их перевозке, определенный актами Всемирного почтового союза;</w:t>
      </w:r>
    </w:p>
    <w:p>
      <w:pPr>
        <w:spacing w:after="120"/>
        <w:ind w:firstLine="397"/>
        <w:jc w:val="both"/>
      </w:pPr>
      <w:r>
        <w:rPr>
          <w:rFonts w:ascii="Arial" w:cs="Arial" w:eastAsia="Arial" w:hAnsi="Arial"/>
          <w:sz w:val="24"/>
          <w:szCs w:val="24"/>
        </w:rPr>
        <w:t xml:space="preserve">- имеющиеся у перевозчика коммерческие документы на перевозимые товары;</w:t>
      </w:r>
    </w:p>
    <w:p>
      <w:pPr>
        <w:spacing w:after="120"/>
        <w:ind w:firstLine="397"/>
        <w:jc w:val="both"/>
      </w:pPr>
      <w:r>
        <w:rPr>
          <w:rFonts w:ascii="Arial" w:cs="Arial" w:eastAsia="Arial" w:hAnsi="Arial"/>
          <w:sz w:val="24"/>
          <w:szCs w:val="24"/>
        </w:rPr>
        <w:t xml:space="preserve">б) сведения:</w:t>
      </w:r>
    </w:p>
    <w:p>
      <w:pPr>
        <w:spacing w:after="120"/>
        <w:ind w:firstLine="397"/>
        <w:jc w:val="both"/>
      </w:pPr>
      <w:r>
        <w:rPr>
          <w:rFonts w:ascii="Arial" w:cs="Arial" w:eastAsia="Arial" w:hAnsi="Arial"/>
          <w:sz w:val="24"/>
          <w:szCs w:val="24"/>
        </w:rPr>
        <w:t xml:space="preserve">- наименование и адрес отправителя товаров;</w:t>
      </w:r>
    </w:p>
    <w:p>
      <w:pPr>
        <w:spacing w:after="120"/>
        <w:ind w:firstLine="397"/>
        <w:jc w:val="both"/>
      </w:pPr>
      <w:r>
        <w:rPr>
          <w:rFonts w:ascii="Arial" w:cs="Arial" w:eastAsia="Arial" w:hAnsi="Arial"/>
          <w:sz w:val="24"/>
          <w:szCs w:val="24"/>
        </w:rPr>
        <w:t xml:space="preserve">- наименование и адрес получателя товаров;</w:t>
      </w:r>
    </w:p>
    <w:p>
      <w:pPr>
        <w:spacing w:after="120"/>
        <w:ind w:firstLine="397"/>
        <w:jc w:val="both"/>
      </w:pPr>
      <w:r>
        <w:rPr>
          <w:rFonts w:ascii="Arial" w:cs="Arial" w:eastAsia="Arial" w:hAnsi="Arial"/>
          <w:sz w:val="24"/>
          <w:szCs w:val="24"/>
        </w:rPr>
        <w:t xml:space="preserve">- наименование станции отправления и станции назначения товаров;</w:t>
      </w:r>
    </w:p>
    <w:p>
      <w:pPr>
        <w:spacing w:after="120"/>
        <w:ind w:firstLine="397"/>
        <w:jc w:val="both"/>
      </w:pPr>
      <w:r>
        <w:rPr>
          <w:rFonts w:ascii="Arial" w:cs="Arial" w:eastAsia="Arial" w:hAnsi="Arial"/>
          <w:sz w:val="24"/>
          <w:szCs w:val="24"/>
        </w:rPr>
        <w:t xml:space="preserve">- о количестве грузовых мест, об их маркировке и о видах упаковок товаров;</w:t>
      </w:r>
    </w:p>
    <w:p>
      <w:pPr>
        <w:spacing w:after="120"/>
        <w:ind w:firstLine="397"/>
        <w:jc w:val="both"/>
      </w:pPr>
      <w:r>
        <w:rPr>
          <w:rFonts w:ascii="Arial" w:cs="Arial" w:eastAsia="Arial" w:hAnsi="Arial"/>
          <w:sz w:val="24"/>
          <w:szCs w:val="24"/>
        </w:rPr>
        <w:t xml:space="preserve">- наименование, а также коды товаров в соответствии с Гармонизированной системой описания и кодирования товаров или Товарной номенклатурой внешнеэкономической деятельности не менее чем на уровне первых четырех знаков;</w:t>
      </w:r>
    </w:p>
    <w:p>
      <w:pPr>
        <w:spacing w:after="120"/>
        <w:ind w:firstLine="397"/>
        <w:jc w:val="both"/>
      </w:pPr>
      <w:r>
        <w:rPr>
          <w:rFonts w:ascii="Arial" w:cs="Arial" w:eastAsia="Arial" w:hAnsi="Arial"/>
          <w:sz w:val="24"/>
          <w:szCs w:val="24"/>
        </w:rPr>
        <w:t xml:space="preserve">- вес брутто товаров (в килограммах);</w:t>
      </w:r>
    </w:p>
    <w:p>
      <w:pPr>
        <w:spacing w:after="120"/>
        <w:ind w:firstLine="397"/>
        <w:jc w:val="both"/>
      </w:pPr>
      <w:r>
        <w:rPr>
          <w:rFonts w:ascii="Arial" w:cs="Arial" w:eastAsia="Arial" w:hAnsi="Arial"/>
          <w:sz w:val="24"/>
          <w:szCs w:val="24"/>
        </w:rPr>
        <w:t xml:space="preserve">- идентификационные номера контейнеров.</w:t>
      </w:r>
    </w:p>
    <w:p>
      <w:pPr>
        <w:spacing w:after="120"/>
        <w:ind w:firstLine="397"/>
        <w:jc w:val="both"/>
      </w:pPr>
      <w:r>
        <w:rPr>
          <w:rFonts w:ascii="Arial" w:cs="Arial" w:eastAsia="Arial" w:hAnsi="Arial"/>
          <w:sz w:val="24"/>
          <w:szCs w:val="24"/>
        </w:rPr>
        <w:t xml:space="preserve">7. Независимо от вида транспорта, на котором осуществляется перевозка, при уведомлении таможенного органа о прибытии товаров на таможенную территорию Евразийского экономического союза представляются документы, подтверждающие соблюдение запретов и ограничений, за исключением мер нетарифного регулирования, в соответствии с пунктом 1 </w:t>
      </w:r>
      <w:r>
        <w:rPr>
          <w:rFonts w:ascii="Arial" w:cs="Arial" w:eastAsia="Arial" w:hAnsi="Arial"/>
          <w:sz w:val="24"/>
          <w:szCs w:val="24"/>
        </w:rPr>
        <w:t xml:space="preserve">статьи 152</w:t>
      </w:r>
      <w:r>
        <w:rPr>
          <w:rFonts w:ascii="Arial" w:cs="Arial" w:eastAsia="Arial" w:hAnsi="Arial"/>
          <w:sz w:val="24"/>
          <w:szCs w:val="24"/>
        </w:rPr>
        <w:t xml:space="preserve"> Таможенного </w:t>
      </w:r>
      <w:hyperlink w:history="1" r:id="rIdtrxmjv68yqf3rwgyzujs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3. Документы и сведения, представляемые таможенному органу при убытии товаров и транспортных средств с таможенной территории Евразийского экономического союза</w:t>
      </w:r>
    </w:p>
    <w:p>
      <w:pPr>
        <w:spacing w:after="120"/>
        <w:ind w:firstLine="397"/>
        <w:jc w:val="both"/>
      </w:pPr>
      <w:r>
        <w:rPr>
          <w:rFonts w:ascii="Arial" w:cs="Arial" w:eastAsia="Arial" w:hAnsi="Arial"/>
          <w:sz w:val="24"/>
          <w:szCs w:val="24"/>
        </w:rPr>
        <w:t xml:space="preserve">8. Для убытия товаров с таможенной территории Евразийского экономического союза лица, указанные в пункте 2 настоящего Положения, обязаны представить таможенному органу таможенную декларацию либо иной документ, допускающий их вывоз с таможенной территории Евразийского экономического союза, а также документы и сведения, предусмотренные пунктом 6 настоящего Положения, в зависимости от вида транспорта, на котором осуществляется перевозка товаров, если иное не установлено настоящим Положением.</w:t>
      </w:r>
    </w:p>
    <w:p>
      <w:pPr>
        <w:spacing w:after="120"/>
        <w:ind w:firstLine="397"/>
        <w:jc w:val="both"/>
      </w:pPr>
      <w:r>
        <w:rPr>
          <w:rFonts w:ascii="Arial" w:cs="Arial" w:eastAsia="Arial" w:hAnsi="Arial"/>
          <w:sz w:val="24"/>
          <w:szCs w:val="24"/>
        </w:rPr>
        <w:t xml:space="preserve">9. Независимо от вида транспорта, на котором осуществляется перевозка, при уведомлении таможенного органа об убытии товаров с таможенной территории Евразийского экономического союза представляются документы, подтверждающие соблюдение запретов и ограничений, за исключением мер нетарифного регулирования, в соответствии с пунктом 1 </w:t>
      </w:r>
      <w:r>
        <w:rPr>
          <w:rFonts w:ascii="Arial" w:cs="Arial" w:eastAsia="Arial" w:hAnsi="Arial"/>
          <w:sz w:val="24"/>
          <w:szCs w:val="24"/>
        </w:rPr>
        <w:t xml:space="preserve">статьи 152</w:t>
      </w:r>
      <w:r>
        <w:rPr>
          <w:rFonts w:ascii="Arial" w:cs="Arial" w:eastAsia="Arial" w:hAnsi="Arial"/>
          <w:sz w:val="24"/>
          <w:szCs w:val="24"/>
        </w:rPr>
        <w:t xml:space="preserve"> Таможенного </w:t>
      </w:r>
      <w:hyperlink w:history="1" r:id="rIdg-94yv44zeze4leils3d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4. Особенности уведомления о прибытии и убытии товаров на/с таможенную территорию Евразийского экономического союза при перевозке товаров железнодорожным и воздушным транспортом</w:t>
      </w:r>
    </w:p>
    <w:p>
      <w:pPr>
        <w:spacing w:after="120"/>
        <w:ind w:firstLine="397"/>
        <w:jc w:val="both"/>
      </w:pPr>
      <w:r>
        <w:rPr>
          <w:rFonts w:ascii="Arial" w:cs="Arial" w:eastAsia="Arial" w:hAnsi="Arial"/>
          <w:sz w:val="24"/>
          <w:szCs w:val="24"/>
        </w:rPr>
        <w:t xml:space="preserve">10. На железнодорожных станциях уведомление о прибытии или убытии производится путем представления в письменной или электронной форме товарной конторой станции таможенному органу сведений о поступивших на железнодорожные станции товарах и транспортных средствах.</w:t>
      </w:r>
    </w:p>
    <w:p>
      <w:pPr>
        <w:spacing w:after="120"/>
        <w:ind w:firstLine="397"/>
        <w:jc w:val="both"/>
      </w:pPr>
      <w:r>
        <w:rPr>
          <w:rFonts w:ascii="Arial" w:cs="Arial" w:eastAsia="Arial" w:hAnsi="Arial"/>
          <w:sz w:val="24"/>
          <w:szCs w:val="24"/>
        </w:rPr>
        <w:t xml:space="preserve">11. Факт передачи сведений отражается должностными лицами товарной конторы станции в специальной книге, форма которой устанавливается совместно с таможенным органом и железнодорожной станцией.</w:t>
      </w:r>
    </w:p>
    <w:p>
      <w:pPr>
        <w:spacing w:after="120"/>
        <w:ind w:firstLine="397"/>
        <w:jc w:val="both"/>
      </w:pPr>
      <w:r>
        <w:rPr>
          <w:rFonts w:ascii="Arial" w:cs="Arial" w:eastAsia="Arial" w:hAnsi="Arial"/>
          <w:sz w:val="24"/>
          <w:szCs w:val="24"/>
        </w:rPr>
        <w:t xml:space="preserve">12. Подача расписания международных грузопассажирских железнодорожных регулярных и нерегулярных отправлений считается представлением таможенному органу уведомления о прибытии или убытии транспортных средств.</w:t>
      </w:r>
    </w:p>
    <w:p>
      <w:pPr>
        <w:spacing w:after="120"/>
        <w:ind w:firstLine="397"/>
        <w:jc w:val="both"/>
      </w:pPr>
      <w:r>
        <w:rPr>
          <w:rFonts w:ascii="Arial" w:cs="Arial" w:eastAsia="Arial" w:hAnsi="Arial"/>
          <w:sz w:val="24"/>
          <w:szCs w:val="24"/>
        </w:rPr>
        <w:t xml:space="preserve">13. Уведомление, о прибытии или убытии товаров воздушным транспортом на таможенную территорию Евразийского экономического союза производится путем представления таможенному органу расписания движения самолетов на международных воздушных линиях гражданской авиации, сведений об экипаже воздушного судна, числе пассажиров, следующих до данного аэропорта и транзитом, а также о находящихся на воздушном судне товарах и почте.</w:t>
      </w:r>
    </w:p>
    <w:p>
      <w:pPr>
        <w:spacing w:after="120"/>
        <w:ind w:firstLine="397"/>
        <w:jc w:val="both"/>
      </w:pPr>
      <w:r>
        <w:rPr>
          <w:rFonts w:ascii="Arial" w:cs="Arial" w:eastAsia="Arial" w:hAnsi="Arial"/>
          <w:sz w:val="24"/>
          <w:szCs w:val="24"/>
        </w:rPr>
        <w:t xml:space="preserve">14. О прибытии или убытии воздушных судов, следующих вне расписания, а также обо всех задержках прибытия или убытия рейсовых воздушных судов администрация международного аэропорта (аэродрома) ставит в известность таможенный орган не позднее чем за час до прибытия или убытия таких судов.</w:t>
      </w:r>
    </w:p>
    <w:p>
      <w:pPr>
        <w:spacing w:after="120"/>
        <w:ind w:firstLine="397"/>
        <w:jc w:val="both"/>
      </w:pPr>
      <w:r>
        <w:rPr>
          <w:rFonts w:ascii="Arial" w:cs="Arial" w:eastAsia="Arial" w:hAnsi="Arial"/>
          <w:sz w:val="24"/>
          <w:szCs w:val="24"/>
        </w:rPr>
        <w:t xml:space="preserve">5. Особенности уведомления о прибытии и убытии товаров на/с таможенную территорию Евразийского экономического союза, перемещаемых трубопроводным транспортом</w:t>
      </w:r>
    </w:p>
    <w:p>
      <w:pPr>
        <w:spacing w:after="120"/>
        <w:ind w:firstLine="397"/>
        <w:jc w:val="both"/>
      </w:pPr>
      <w:r>
        <w:rPr>
          <w:rFonts w:ascii="Arial" w:cs="Arial" w:eastAsia="Arial" w:hAnsi="Arial"/>
          <w:sz w:val="24"/>
          <w:szCs w:val="24"/>
        </w:rPr>
        <w:t xml:space="preserve">15. При перемещении товаров трубопроводным транспортом уведомление о прибытии или убытии товаров может выражаться в представлении таможенному органу контрактов, протоколов, лицензий и иных документов, имеющих отношение к перемещению товаров.</w:t>
      </w:r>
    </w:p>
    <w:p>
      <w:pPr>
        <w:spacing w:after="120"/>
        <w:ind w:firstLine="397"/>
        <w:jc w:val="both"/>
      </w:pPr>
      <w:r>
        <w:rPr>
          <w:rFonts w:ascii="Arial" w:cs="Arial" w:eastAsia="Arial" w:hAnsi="Arial"/>
          <w:sz w:val="24"/>
          <w:szCs w:val="24"/>
        </w:rPr>
        <w:t xml:space="preserve">16. Уведомление о прибытии или убытии товаров, перемещенных трубопроводным транспортом, производится путем представления в письменной или электронной форме документов, сведений и показаний приборов учета, расположенных на территории государства назначения этих товаров, либо приборов учета, находящихся на территории сопредельного государства, либо в иных местах, в соответствии с пунктом 1 </w:t>
      </w:r>
      <w:r>
        <w:rPr>
          <w:rFonts w:ascii="Arial" w:cs="Arial" w:eastAsia="Arial" w:hAnsi="Arial"/>
          <w:sz w:val="24"/>
          <w:szCs w:val="24"/>
        </w:rPr>
        <w:t xml:space="preserve">статьи 337</w:t>
      </w:r>
      <w:r>
        <w:rPr>
          <w:rFonts w:ascii="Arial" w:cs="Arial" w:eastAsia="Arial" w:hAnsi="Arial"/>
          <w:sz w:val="24"/>
          <w:szCs w:val="24"/>
        </w:rPr>
        <w:t xml:space="preserve"> Таможенного кодекса Таможенного союза.</w:t>
      </w:r>
    </w:p>
    <w:p>
      <w:pPr>
        <w:spacing w:after="120"/>
        <w:ind w:firstLine="397"/>
        <w:jc w:val="both"/>
      </w:pPr>
      <w:r>
        <w:rPr>
          <w:rFonts w:ascii="Arial" w:cs="Arial" w:eastAsia="Arial" w:hAnsi="Arial"/>
          <w:sz w:val="24"/>
          <w:szCs w:val="24"/>
        </w:rPr>
        <w:t xml:space="preserve">17. Для перемещенного трубопроводным транспортом природного газа представляются документы и сведения, подтверждающие его количество и качество, а также акты о фактических поставках природного газа, составленные на основании показаний приборов учета, расположенных в местах его сдачи контрагентам, определенных условиями внешнеторговых договоров, на основании которых осуществляется такое перемещение.</w:t>
      </w:r>
    </w:p>
    <w:p>
      <w:pPr>
        <w:spacing w:after="120"/>
        <w:ind w:firstLine="397"/>
        <w:jc w:val="both"/>
      </w:pPr>
      <w:r>
        <w:rPr>
          <w:rFonts w:ascii="Arial" w:cs="Arial" w:eastAsia="Arial" w:hAnsi="Arial"/>
          <w:sz w:val="24"/>
          <w:szCs w:val="24"/>
        </w:rPr>
        <w:t xml:space="preserve">18. При транзитном перемещении по таможенной территории Евразийского экономического союза товаров трубопроводным транспортом в качестве уведомления могут использоваться показания приборов учета, расположенных на территории государств - членов Евразийского экономического союза и находящихся на территории сопредельного государства, в соответствии с пунктом 1 </w:t>
      </w:r>
      <w:r>
        <w:rPr>
          <w:rFonts w:ascii="Arial" w:cs="Arial" w:eastAsia="Arial" w:hAnsi="Arial"/>
          <w:sz w:val="24"/>
          <w:szCs w:val="24"/>
        </w:rPr>
        <w:t xml:space="preserve">статьи 337</w:t>
      </w:r>
      <w:r>
        <w:rPr>
          <w:rFonts w:ascii="Arial" w:cs="Arial" w:eastAsia="Arial" w:hAnsi="Arial"/>
          <w:sz w:val="24"/>
          <w:szCs w:val="24"/>
        </w:rPr>
        <w:t xml:space="preserve"> Таможенного кодекса Таможенного союза.</w:t>
      </w:r>
    </w:p>
    <w:p>
      <w:pPr>
        <w:spacing w:after="120"/>
        <w:ind w:firstLine="397"/>
        <w:jc w:val="both"/>
      </w:pPr>
      <w:r>
        <w:rPr>
          <w:rFonts w:ascii="Arial" w:cs="Arial" w:eastAsia="Arial" w:hAnsi="Arial"/>
          <w:sz w:val="24"/>
          <w:szCs w:val="24"/>
        </w:rPr>
        <w:t xml:space="preserve">6. Особенности уведомления о прибытии и убытии товаров на/с таможенную территорию Евразийского экономического союза, перемещаемых по линиям электропередачи</w:t>
      </w:r>
    </w:p>
    <w:p>
      <w:pPr>
        <w:spacing w:after="120"/>
        <w:ind w:firstLine="397"/>
        <w:jc w:val="both"/>
      </w:pPr>
      <w:r>
        <w:rPr>
          <w:rFonts w:ascii="Arial" w:cs="Arial" w:eastAsia="Arial" w:hAnsi="Arial"/>
          <w:sz w:val="24"/>
          <w:szCs w:val="24"/>
        </w:rPr>
        <w:t xml:space="preserve">19. Уведомление о прибытии или убытии электроэнергии, перемещенной по международным линиям электропередачи, производится путем представления в письменной или электронной форме документов, сведений и показаний приборов учета, расположенных на территории государства назначения этих товаров, либо приборов учета, установленных в технологически обусловленных местах и фиксирующих перемещение электрической энергии, актов о фактических поставках электрической энергии по соответствующему внешнеторговому договору, актов сдачи-приемки и других документов, подтверждающих фактическое перемещение электрической энергии, как сальдо-переток электрической энергии (алгебраическая сумма перетоков электрической энергии в противоположных направлениях по всем находящимся в работе межгосударственным линиям электропередачи всех классов напряжения) за каждый календарный месяц, если иной порядок определения количества электрической энергии не установлен законодательством Кыргызской Республики.</w:t>
      </w:r>
    </w:p>
    <w:p>
      <w:pPr>
        <w:spacing w:after="120"/>
        <w:ind w:firstLine="397"/>
        <w:jc w:val="both"/>
      </w:pPr>
      <w:r>
        <w:rPr>
          <w:rFonts w:ascii="Arial" w:cs="Arial" w:eastAsia="Arial" w:hAnsi="Arial"/>
          <w:sz w:val="24"/>
          <w:szCs w:val="24"/>
        </w:rPr>
        <w:t xml:space="preserve">20. При перемещении с таможенной территории Евразийского экономического союза электрической энергии в качестве уведомления могут использоваться показания приборов учета, расположенных на территории государства отправления этой электрической энергии, либо приборов учета, находящихся на территории сопредельного государства, в соответствии с пунктом 1 </w:t>
      </w:r>
      <w:r>
        <w:rPr>
          <w:rFonts w:ascii="Arial" w:cs="Arial" w:eastAsia="Arial" w:hAnsi="Arial"/>
          <w:sz w:val="24"/>
          <w:szCs w:val="24"/>
        </w:rPr>
        <w:t xml:space="preserve">статьи 337</w:t>
      </w:r>
      <w:r>
        <w:rPr>
          <w:rFonts w:ascii="Arial" w:cs="Arial" w:eastAsia="Arial" w:hAnsi="Arial"/>
          <w:sz w:val="24"/>
          <w:szCs w:val="24"/>
        </w:rPr>
        <w:t xml:space="preserve"> Таможенного </w:t>
      </w:r>
      <w:hyperlink w:history="1" r:id="rId4xkrkitxciip5ristdke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21. При транзитном перемещении по таможенной территории Евразийского экономического союза электрической энергии в качестве уведомления могут использоваться показания приборов учета, расположенных на территории государств - членов Евразийского экономического союза и находящихся на территории сопредельного государства, в соответствии с пунктом 1 </w:t>
      </w:r>
      <w:r>
        <w:rPr>
          <w:rFonts w:ascii="Arial" w:cs="Arial" w:eastAsia="Arial" w:hAnsi="Arial"/>
          <w:sz w:val="24"/>
          <w:szCs w:val="24"/>
        </w:rPr>
        <w:t xml:space="preserve">статьи 337</w:t>
      </w:r>
      <w:r>
        <w:rPr>
          <w:rFonts w:ascii="Arial" w:cs="Arial" w:eastAsia="Arial" w:hAnsi="Arial"/>
          <w:sz w:val="24"/>
          <w:szCs w:val="24"/>
        </w:rPr>
        <w:t xml:space="preserve"> Таможенного </w:t>
      </w:r>
      <w:hyperlink w:history="1" r:id="rIdltxizbriujs9x-5xl73a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7. Предварительное информирование о товарах, ввозимых на таможенную территорию Евразийского экономического союза, в зависимости от вида транспорта</w:t>
      </w:r>
    </w:p>
    <w:p>
      <w:pPr>
        <w:spacing w:after="120"/>
        <w:ind w:firstLine="397"/>
        <w:jc w:val="both"/>
      </w:pPr>
      <w:r>
        <w:rPr>
          <w:rFonts w:ascii="Arial" w:cs="Arial" w:eastAsia="Arial" w:hAnsi="Arial"/>
          <w:sz w:val="24"/>
          <w:szCs w:val="24"/>
        </w:rPr>
        <w:t xml:space="preserve">22. Уполномоченные экономические операторы, перевозчики, в том числе таможенные перевозчики, таможенные представители и иные заинтересованные лица могут представлять таможенным органам в электронном виде предварительную информацию о товарах, предполагаемых к перемещению через таможенную границу, транспортных средствах, перемещающих такие товары, времени и месте прибытия товаров на таможенную территорию Евразийского экономического союза или убытия с такой территории, пассажирах, прибывающих на таможенную территорию Евразийского экономического союза или убывающих с такой территории (далее - предварительная информация).</w:t>
      </w:r>
    </w:p>
    <w:p>
      <w:pPr>
        <w:spacing w:after="120"/>
        <w:ind w:firstLine="397"/>
        <w:jc w:val="both"/>
      </w:pPr>
      <w:r>
        <w:rPr>
          <w:rFonts w:ascii="Arial" w:cs="Arial" w:eastAsia="Arial" w:hAnsi="Arial"/>
          <w:sz w:val="24"/>
          <w:szCs w:val="24"/>
        </w:rPr>
        <w:t xml:space="preserve">23. При ввозе товаров автомобильным транспортом обязательность представления предварительной информации осуществляется в соответствии с Решением Комиссии Таможенного союза от 9 декабря 2011 года № 899.</w:t>
      </w:r>
    </w:p>
    <w:p>
      <w:pPr>
        <w:spacing w:after="120"/>
        <w:ind w:firstLine="397"/>
        <w:jc w:val="both"/>
      </w:pPr>
      <w:r>
        <w:rPr>
          <w:rFonts w:ascii="Arial" w:cs="Arial" w:eastAsia="Arial" w:hAnsi="Arial"/>
          <w:sz w:val="24"/>
          <w:szCs w:val="24"/>
        </w:rPr>
        <w:t xml:space="preserve">24. При ввозе товаров железнодорожным транспортом обязательность представления предварительной информации осуществляется в соответствии с Решением Коллегии Евразийской экономической комиссии от 17 сентября 2013 года № 196.</w:t>
      </w:r>
    </w:p>
    <w:p>
      <w:pPr>
        <w:spacing w:after="120"/>
        <w:ind w:firstLine="397"/>
        <w:jc w:val="both"/>
      </w:pPr>
      <w:r>
        <w:rPr>
          <w:rFonts w:ascii="Arial" w:cs="Arial" w:eastAsia="Arial" w:hAnsi="Arial"/>
          <w:sz w:val="24"/>
          <w:szCs w:val="24"/>
        </w:rPr>
        <w:t xml:space="preserve">25. Предварительная информация представляется на государственном либо на официальном языке, за исключением условных обозначений, используемых таможенными органами в качестве классификаторов.</w:t>
      </w:r>
    </w:p>
    <w:p>
      <w:pPr>
        <w:spacing w:after="120"/>
        <w:ind w:firstLine="397"/>
        <w:jc w:val="both"/>
      </w:pPr>
      <w:r>
        <w:rPr>
          <w:rFonts w:ascii="Arial" w:cs="Arial" w:eastAsia="Arial" w:hAnsi="Arial"/>
          <w:sz w:val="24"/>
          <w:szCs w:val="24"/>
        </w:rPr>
        <w:t xml:space="preserve">26. Лица, указанные в пункте 22 настоящего Положения, представляют предварительную информацию в отношении ввозимых товаров, предполагаемых к помещению под процедуру таможенного транзита в местах прибытия, в объеме сведений, определенных </w:t>
      </w:r>
      <w:r>
        <w:rPr>
          <w:rFonts w:ascii="Arial" w:cs="Arial" w:eastAsia="Arial" w:hAnsi="Arial"/>
          <w:sz w:val="24"/>
          <w:szCs w:val="24"/>
        </w:rPr>
        <w:t xml:space="preserve">статьей 182</w:t>
      </w:r>
      <w:r>
        <w:rPr>
          <w:rFonts w:ascii="Arial" w:cs="Arial" w:eastAsia="Arial" w:hAnsi="Arial"/>
          <w:sz w:val="24"/>
          <w:szCs w:val="24"/>
        </w:rPr>
        <w:t xml:space="preserve"> Таможенного кодекса Таможенного союза или частью второй </w:t>
      </w:r>
      <w:r>
        <w:rPr>
          <w:rFonts w:ascii="Arial" w:cs="Arial" w:eastAsia="Arial" w:hAnsi="Arial"/>
          <w:sz w:val="24"/>
          <w:szCs w:val="24"/>
        </w:rPr>
        <w:t xml:space="preserve">статьи 3</w:t>
      </w:r>
      <w:r>
        <w:rPr>
          <w:rFonts w:ascii="Arial" w:cs="Arial" w:eastAsia="Arial" w:hAnsi="Arial"/>
          <w:sz w:val="24"/>
          <w:szCs w:val="24"/>
        </w:rPr>
        <w:t xml:space="preserve"> Соглашения о представлении и об обмене предварительной информацией о товарах и транспортных средствах, перемещаемых через таможенную границу Таможенного союза, от 21 мая 2010 года. В случае, если в отношении ввозимых товаров и транспортных средств таможенная процедура таможенного транзита применяться не будет, лица, указанные в пункте 22 настоящего Положения, представляют предварительную информацию в объеме сведений, определенных пунктом 6 настоящего Положения.</w:t>
      </w:r>
    </w:p>
    <w:p>
      <w:pPr>
        <w:spacing w:after="120"/>
        <w:ind w:firstLine="397"/>
        <w:jc w:val="both"/>
      </w:pPr>
      <w:r>
        <w:rPr>
          <w:rFonts w:ascii="Arial" w:cs="Arial" w:eastAsia="Arial" w:hAnsi="Arial"/>
          <w:sz w:val="24"/>
          <w:szCs w:val="24"/>
        </w:rPr>
        <w:t xml:space="preserve">27. Предварительная информация должна быть направлена в таможенный орган лицом, указанным в пункте 22 настоящего Положения, не менее чем за 2 часа до перемещения через таможенную границу Евразийского экономического союза товаров и транспортных средств. В случае несоответствия предварительной информации составу сведений, ее структуре и формату, утвержденных техническими требованиями, лицу, указанному в пункте 22 настоящего Положения, направляется электронное сообщение о непринятии предварительной информации к рассмотрению с указанием причин.</w:t>
      </w:r>
    </w:p>
    <w:p>
      <w:pPr>
        <w:spacing w:after="120"/>
        <w:ind w:firstLine="397"/>
        <w:jc w:val="both"/>
      </w:pPr>
      <w:r>
        <w:rPr>
          <w:rFonts w:ascii="Arial" w:cs="Arial" w:eastAsia="Arial" w:hAnsi="Arial"/>
          <w:sz w:val="24"/>
          <w:szCs w:val="24"/>
        </w:rPr>
        <w:t xml:space="preserve">28. При отсутствии ошибок в представленной предварительной информации лицу, указанному в пункте 22 настоящего Положения, направляется электронное сообщение, содержащее уникальный идентификационный номер перевозки (далее - УИНП).</w:t>
      </w:r>
    </w:p>
    <w:p>
      <w:pPr>
        <w:spacing w:after="120"/>
        <w:ind w:firstLine="397"/>
        <w:jc w:val="both"/>
      </w:pPr>
      <w:r>
        <w:rPr>
          <w:rFonts w:ascii="Arial" w:cs="Arial" w:eastAsia="Arial" w:hAnsi="Arial"/>
          <w:sz w:val="24"/>
          <w:szCs w:val="24"/>
        </w:rPr>
        <w:t xml:space="preserve">29. В случае перевозки на одном транспортном средстве нескольких товарных партий предварительная информация должна представляться на каждую товарную партию отдельно. Каждой товарной партии присваивается индивидуальный УИНП.</w:t>
      </w:r>
    </w:p>
    <w:p>
      <w:pPr>
        <w:spacing w:after="120"/>
        <w:ind w:firstLine="397"/>
        <w:jc w:val="both"/>
      </w:pPr>
      <w:r>
        <w:rPr>
          <w:rFonts w:ascii="Arial" w:cs="Arial" w:eastAsia="Arial" w:hAnsi="Arial"/>
          <w:sz w:val="24"/>
          <w:szCs w:val="24"/>
        </w:rPr>
        <w:t xml:space="preserve">30. Предварительная информация хранится в базе данных предварительной информации не менее 30 суток с даты присвоения УИНП.</w:t>
      </w:r>
    </w:p>
    <w:p>
      <w:pPr>
        <w:spacing w:after="120"/>
        <w:ind w:firstLine="397"/>
        <w:jc w:val="both"/>
      </w:pPr>
      <w:r>
        <w:rPr>
          <w:rFonts w:ascii="Arial" w:cs="Arial" w:eastAsia="Arial" w:hAnsi="Arial"/>
          <w:sz w:val="24"/>
          <w:szCs w:val="24"/>
        </w:rPr>
        <w:t xml:space="preserve">31. Если фактического ввоза товаров и транспортных средств в пределах срока хранения предварительной информации не произошло, то данная предварительная информация аннулируется.</w:t>
      </w:r>
    </w:p>
    <w:p>
      <w:pPr>
        <w:spacing w:after="120"/>
        <w:ind w:firstLine="397"/>
        <w:jc w:val="both"/>
      </w:pPr>
      <w:r>
        <w:rPr>
          <w:rFonts w:ascii="Arial" w:cs="Arial" w:eastAsia="Arial" w:hAnsi="Arial"/>
          <w:sz w:val="24"/>
          <w:szCs w:val="24"/>
        </w:rPr>
        <w:t xml:space="preserve">32. Для совершения таможенных операций УИНП представляется заинтересованным лицом таможенному органу в месте перемещения товаров и транспортных средств через таможенную границу Евразийского экономического союза.</w:t>
      </w:r>
    </w:p>
    <w:p>
      <w:pPr>
        <w:spacing w:after="120"/>
        <w:ind w:firstLine="397"/>
        <w:jc w:val="both"/>
      </w:pPr>
      <w:r>
        <w:rPr>
          <w:rFonts w:ascii="Arial" w:cs="Arial" w:eastAsia="Arial" w:hAnsi="Arial"/>
          <w:sz w:val="24"/>
          <w:szCs w:val="24"/>
        </w:rPr>
        <w:t xml:space="preserve">33. При получении от заинтересованного лица УИНП должностное лицо таможенного органа должно выполнить следующие действия:</w:t>
      </w:r>
    </w:p>
    <w:p>
      <w:pPr>
        <w:spacing w:after="120"/>
        <w:ind w:firstLine="397"/>
        <w:jc w:val="both"/>
      </w:pPr>
      <w:r>
        <w:rPr>
          <w:rFonts w:ascii="Arial" w:cs="Arial" w:eastAsia="Arial" w:hAnsi="Arial"/>
          <w:sz w:val="24"/>
          <w:szCs w:val="24"/>
        </w:rPr>
        <w:t xml:space="preserve">1) запросить по УИНП, посредством программных средств, предварительную информацию о товарах и транспортных средствах, содержащуюся в базах данных таможенных органов;</w:t>
      </w:r>
    </w:p>
    <w:p>
      <w:pPr>
        <w:spacing w:after="120"/>
        <w:ind w:firstLine="397"/>
        <w:jc w:val="both"/>
      </w:pPr>
      <w:r>
        <w:rPr>
          <w:rFonts w:ascii="Arial" w:cs="Arial" w:eastAsia="Arial" w:hAnsi="Arial"/>
          <w:sz w:val="24"/>
          <w:szCs w:val="24"/>
        </w:rPr>
        <w:t xml:space="preserve">2) сравнить сведения, содержащиеся в транспортных (перевозочных) и коммерческих документах, представленные перевозчиком, со сведениями, содержащимися в предварительной информации;</w:t>
      </w:r>
    </w:p>
    <w:p>
      <w:pPr>
        <w:spacing w:after="120"/>
        <w:ind w:firstLine="397"/>
        <w:jc w:val="both"/>
      </w:pPr>
      <w:r>
        <w:rPr>
          <w:rFonts w:ascii="Arial" w:cs="Arial" w:eastAsia="Arial" w:hAnsi="Arial"/>
          <w:sz w:val="24"/>
          <w:szCs w:val="24"/>
        </w:rPr>
        <w:t xml:space="preserve">3) проверить соблюдение запретов и ограничений;</w:t>
      </w:r>
    </w:p>
    <w:p>
      <w:pPr>
        <w:spacing w:after="120"/>
        <w:ind w:firstLine="397"/>
        <w:jc w:val="both"/>
      </w:pPr>
      <w:r>
        <w:rPr>
          <w:rFonts w:ascii="Arial" w:cs="Arial" w:eastAsia="Arial" w:hAnsi="Arial"/>
          <w:sz w:val="24"/>
          <w:szCs w:val="24"/>
        </w:rPr>
        <w:t xml:space="preserve">4) выполнить иные действия, установленные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34. В случае несоответствия сведений, содержащихся в базах данных предварительной информации таможенных органов, сведениям, содержащимся в документах, представленных лицом, указанным в пункте 22 настоящего Положения, должностное лицо таможенного органа принимает меры в соответствии с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35. В случае отсутствия в базах данных таможенных органов предварительной информации о товарах и транспортных средствах, представление которой обязательно, таможенные операции осуществляются в соответствии с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ЖУРНАЛ
 регистрации уведомлений о прибытии товаров и транспортных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873"/>
        <w:gridCol w:w="2759"/>
        <w:gridCol w:w="2191"/>
        <w:gridCol w:w="2067"/>
        <w:gridCol w:w="985"/>
      </w:tblGrid>
      <w:tr>
        <w:tc>
          <w:tcPr>
            <w:tcW w:type="dxa" w:w="30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8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и дата принятия уведомления</w:t>
            </w:r>
          </w:p>
        </w:tc>
        <w:tc>
          <w:tcPr>
            <w:tcW w:type="dxa" w:w="27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 и подпись должностного лица, принявшего уведомление</w:t>
            </w:r>
          </w:p>
        </w:tc>
        <w:tc>
          <w:tcPr>
            <w:tcW w:type="dxa" w:w="21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 и подпись лица, подавшего уведомление</w:t>
            </w:r>
          </w:p>
        </w:tc>
        <w:tc>
          <w:tcPr>
            <w:tcW w:type="dxa" w:w="20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Регистрационный номер уведомления</w:t>
            </w:r>
          </w:p>
        </w:tc>
        <w:tc>
          <w:tcPr>
            <w:tcW w:type="dxa" w:w="9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3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bl>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ЖУРНАЛ
 регистрации уведомлений об убытии товаров и транспортных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873"/>
        <w:gridCol w:w="2759"/>
        <w:gridCol w:w="2191"/>
        <w:gridCol w:w="2067"/>
        <w:gridCol w:w="985"/>
      </w:tblGrid>
      <w:tr>
        <w:tc>
          <w:tcPr>
            <w:tcW w:type="dxa" w:w="30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18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и дата принятия уведомления</w:t>
            </w:r>
          </w:p>
        </w:tc>
        <w:tc>
          <w:tcPr>
            <w:tcW w:type="dxa" w:w="27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 и подпись должностного лица, принявшего уведомление</w:t>
            </w:r>
          </w:p>
        </w:tc>
        <w:tc>
          <w:tcPr>
            <w:tcW w:type="dxa" w:w="21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ФИО и подпись лица, подавшего уведомление</w:t>
            </w:r>
          </w:p>
        </w:tc>
        <w:tc>
          <w:tcPr>
            <w:tcW w:type="dxa" w:w="20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Регистрационный номер уведомления</w:t>
            </w:r>
          </w:p>
        </w:tc>
        <w:tc>
          <w:tcPr>
            <w:tcW w:type="dxa" w:w="9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3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8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bl>
    <w:p>
      <w:pPr>
        <w:spacing w:after="120"/>
        <w:ind w:firstLine="39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ygwl85rlt3-4ixy05heh" Type="http://schemas.openxmlformats.org/officeDocument/2006/relationships/hyperlink" Target="http://kodeks.duckdns.org/document/157558" TargetMode="External"/><Relationship Id="rIdi4parcp0l4z5ktq4cf1pz" Type="http://schemas.openxmlformats.org/officeDocument/2006/relationships/hyperlink" Target="http://kodeks.duckdns.org/document/98339#&#1088;1" TargetMode="External"/><Relationship Id="rIdflub0dopebwqdfaiy2qsj" Type="http://schemas.openxmlformats.org/officeDocument/2006/relationships/hyperlink" Target="http://kodeks.duckdns.org/document/98339#&#1088;2" TargetMode="External"/><Relationship Id="rIdtrxmjv68yqf3rwgyzujst" Type="http://schemas.openxmlformats.org/officeDocument/2006/relationships/hyperlink" Target="http://kodeks.duckdns.org/document/1587" TargetMode="External"/><Relationship Id="rIdg-94yv44zeze4leils3dq" Type="http://schemas.openxmlformats.org/officeDocument/2006/relationships/hyperlink" Target="http://kodeks.duckdns.org/document/1587" TargetMode="External"/><Relationship Id="rId4xkrkitxciip5ristdkem" Type="http://schemas.openxmlformats.org/officeDocument/2006/relationships/hyperlink" Target="http://kodeks.duckdns.org/document/1587" TargetMode="External"/><Relationship Id="rIdltxizbriujs9x-5xl73a5" Type="http://schemas.openxmlformats.org/officeDocument/2006/relationships/hyperlink" Target="http://kodeks.duckdns.org/document/1587"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2026-09-23T14:04:59.603Z</dcterms:created>
  <dcterms:modified xsi:type="dcterms:W3CDTF">2026-09-23T14:04:59.603Z</dcterms:modified>
</cp:coreProperties>
</file>

<file path=docProps/custom.xml><?xml version="1.0" encoding="utf-8"?>
<Properties xmlns="http://schemas.openxmlformats.org/officeDocument/2006/custom-properties" xmlns:vt="http://schemas.openxmlformats.org/officeDocument/2006/docPropsVTypes"/>
</file>