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sz w:val="24"/>
          <w:szCs w:val="24"/>
        </w:rPr>
        <w:t xml:space="preserve">УТРАТИЛО СИЛУ
 в соответствии с </w:t>
      </w:r>
      <w:hyperlink w:history="1" r:id="rIdxom4ktbzrjdog1nutvmg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августа 2016 года № 456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29 января 2016 года № 41</w:t>
      </w:r>
    </w:p>
    <w:p>
      <w:pPr>
        <w:spacing w:after="480" w:before="200"/>
        <w:jc w:val="center"/>
      </w:pPr>
      <w:r>
        <w:rPr>
          <w:rFonts w:ascii="Arial" w:cs="Arial" w:eastAsia="Arial" w:hAnsi="Arial"/>
          <w:b/>
          <w:bCs/>
          <w:sz w:val="32"/>
          <w:szCs w:val="32"/>
        </w:rPr>
        <w:t xml:space="preserve">Об утверждении Плана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w:t>
      </w:r>
    </w:p>
    <w:p>
      <w:pPr>
        <w:spacing w:after="480"/>
        <w:jc w:val="center"/>
      </w:pPr>
      <w:r>
        <w:rPr>
          <w:rFonts w:ascii="Arial" w:cs="Arial" w:eastAsia="Arial" w:hAnsi="Arial"/>
          <w:i/>
          <w:iCs/>
          <w:sz w:val="24"/>
          <w:szCs w:val="24"/>
        </w:rPr>
        <w:t xml:space="preserve">(В редакции </w:t>
      </w:r>
      <w:hyperlink w:history="1" r:id="rIdrv8ct7qxngwlgtt9zq1wg">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2016 года № 119)</w:t>
      </w:r>
    </w:p>
    <w:p>
      <w:pPr>
        <w:spacing w:after="120"/>
        <w:jc w:val="both"/>
      </w:pPr>
      <w:r>
        <w:rPr>
          <w:rFonts w:ascii="Arial" w:cs="Arial" w:eastAsia="Arial" w:hAnsi="Arial"/>
          <w:sz w:val="24"/>
          <w:szCs w:val="24"/>
        </w:rPr>
        <w:t xml:space="preserve">В целях реализации </w:t>
      </w:r>
      <w:hyperlink w:history="1" r:id="rIdqneig8ie5bkwbeuwxxw0n">
        <w:r>
          <w:rPr>
            <w:rFonts w:ascii="Arial" w:cs="Arial" w:eastAsia="Arial" w:hAnsi="Arial"/>
            <w:color w:val="1D4ED8"/>
            <w:sz w:val="24"/>
            <w:szCs w:val="24"/>
            <w:u w:val="single"/>
          </w:rPr>
          <w:t xml:space="preserve">Программы</w:t>
        </w:r>
      </w:hyperlink>
      <w:r>
        <w:rPr>
          <w:rFonts w:ascii="Arial" w:cs="Arial" w:eastAsia="Arial" w:hAnsi="Arial"/>
          <w:sz w:val="24"/>
          <w:szCs w:val="24"/>
        </w:rPr>
        <w:t xml:space="preserve"> Правительства Кыргызской Республики "Стабильность, доверие и новые возможности", утвержденной </w:t>
      </w:r>
      <w:hyperlink w:history="1" r:id="rIdxn4yoblx6x7cbs2vd4g4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5 ноября 2015 года № 10-VI, в соответствии со статьями 10 и 17 конституционного</w:t>
      </w:r>
      <w:hyperlink w:history="1" r:id="rIdqyrript5rhpy1vj2jcdh5">
        <w:r>
          <w:rPr>
            <w:rFonts w:ascii="Arial" w:cs="Arial" w:eastAsia="Arial" w:hAnsi="Arial"/>
            <w:color w:val="1D4ED8"/>
            <w:sz w:val="24"/>
            <w:szCs w:val="24"/>
            <w:u w:val="single"/>
          </w:rPr>
          <w:t xml:space="preserve">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 (далее - План) согласно </w:t>
      </w:r>
      <w:hyperlink w:history="1" r:id="rIdqpko2sq0gtkbxo2wyx77v">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Государственным органам исполнительной власти Кыргызской Республики, аппаратам полномочных представителей Правительства Кыргызской Республики в областях и органам местного самоуправления (по согласованию):</w:t>
      </w:r>
    </w:p>
    <w:p>
      <w:pPr>
        <w:spacing w:after="120"/>
        <w:jc w:val="both"/>
      </w:pPr>
      <w:r>
        <w:rPr>
          <w:rFonts w:ascii="Arial" w:cs="Arial" w:eastAsia="Arial" w:hAnsi="Arial"/>
          <w:sz w:val="24"/>
          <w:szCs w:val="24"/>
        </w:rPr>
        <w:t xml:space="preserve">- принять конкретные меры по выполнению Плана в установленные сроки;</w:t>
      </w:r>
    </w:p>
    <w:p>
      <w:pPr>
        <w:spacing w:after="120"/>
        <w:jc w:val="both"/>
      </w:pPr>
      <w:r>
        <w:rPr>
          <w:rFonts w:ascii="Arial" w:cs="Arial" w:eastAsia="Arial" w:hAnsi="Arial"/>
          <w:sz w:val="24"/>
          <w:szCs w:val="24"/>
        </w:rPr>
        <w:t xml:space="preserve">- ежемесячно, не позднее 5 числа месяца, следующего за отчетным периодом, представлять для обобщения информацию о выполнении Плана в Министерство экономики Кыргызской Республики.</w:t>
      </w:r>
    </w:p>
    <w:p>
      <w:pPr>
        <w:spacing w:after="120"/>
        <w:jc w:val="both"/>
      </w:pPr>
      <w:r>
        <w:rPr>
          <w:rFonts w:ascii="Arial" w:cs="Arial" w:eastAsia="Arial" w:hAnsi="Arial"/>
          <w:sz w:val="24"/>
          <w:szCs w:val="24"/>
        </w:rPr>
        <w:t xml:space="preserve">3. Министерству экономики Кыргызской Республики ежеквартально, не позднее 15 числа месяца, следующего за отчетным периодом, представлять в Аппарат Правительства Кыргызской Республики обобщенную информацию о ходе выполнения Плана.</w:t>
      </w:r>
    </w:p>
    <w:p>
      <w:pPr>
        <w:spacing w:after="120"/>
        <w:jc w:val="both"/>
      </w:pPr>
      <w:r>
        <w:rPr>
          <w:rFonts w:ascii="Arial" w:cs="Arial" w:eastAsia="Arial" w:hAnsi="Arial"/>
          <w:sz w:val="24"/>
          <w:szCs w:val="24"/>
        </w:rPr>
        <w:t xml:space="preserve">4. Установить персональную ответственность руководителей государственных органов исполнительной власти Кыргызской Республики, полномочных представителей Правительства Кыргызской Республики в областях и глав органов местного самоуправления за качественное и своевременное выполнение Плана.</w:t>
      </w:r>
    </w:p>
    <w:p>
      <w:pPr>
        <w:spacing w:after="120"/>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соответствующие отделы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Т.Сариев</w:t>
      </w:r>
    </w:p>
    <w:p>
      <w:pPr>
        <w:spacing w:after="120"/>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ПЛАН
 действий Правительства Кыргызской Республики по реализации Программы Правительства Кыргызской Республики "Стабильность, доверие и новые возможности" на 2016 год</w:t>
      </w:r>
    </w:p>
    <w:p>
      <w:pPr>
        <w:spacing w:after="480"/>
        <w:jc w:val="center"/>
      </w:pPr>
      <w:r>
        <w:rPr>
          <w:rFonts w:ascii="Arial" w:cs="Arial" w:eastAsia="Arial" w:hAnsi="Arial"/>
          <w:i/>
          <w:iCs/>
          <w:sz w:val="24"/>
          <w:szCs w:val="24"/>
        </w:rPr>
        <w:t xml:space="preserve">(В редакции </w:t>
      </w:r>
      <w:hyperlink w:history="1" r:id="rId3wikfvlvgluq6rtdraf1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2016 года № 119)</w:t>
      </w:r>
    </w:p>
    <w:p>
      <w:pPr>
        <w:spacing w:after="200" w:before="200"/>
        <w:jc w:val="center"/>
      </w:pPr>
      <w:r>
        <w:rPr>
          <w:rFonts w:ascii="Arial" w:cs="Arial" w:eastAsia="Arial" w:hAnsi="Arial"/>
          <w:b/>
          <w:bCs/>
          <w:sz w:val="32"/>
          <w:szCs w:val="32"/>
        </w:rPr>
        <w:t xml:space="preserve">Цель: Динамично развивающаяся экономика и постоянно растущие доходы населения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45"/>
        <w:gridCol w:w="1256"/>
        <w:gridCol w:w="1256"/>
        <w:gridCol w:w="981"/>
        <w:gridCol w:w="981"/>
        <w:gridCol w:w="267"/>
        <w:gridCol w:w="267"/>
        <w:gridCol w:w="267"/>
        <w:gridCol w:w="267"/>
        <w:gridCol w:w="267"/>
        <w:gridCol w:w="1562"/>
        <w:gridCol w:w="621"/>
        <w:gridCol w:w="621"/>
        <w:gridCol w:w="621"/>
        <w:gridCol w:w="1"/>
        <w:gridCol w:w="1"/>
        <w:gridCol w:w="1"/>
      </w:tblGrid>
      <w:tr>
        <w:tc>
          <w:tcPr>
            <w:tcW w:type="dxa" w:w="94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5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Задачи/меры</w:t>
            </w:r>
          </w:p>
        </w:tc>
        <w:tc>
          <w:tcPr>
            <w:tcW w:type="dxa" w:w="196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Индикатор/ожидаемый результат</w:t>
            </w:r>
          </w:p>
        </w:tc>
        <w:tc>
          <w:tcPr>
            <w:tcW w:type="dxa" w:w="133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реализации</w:t>
            </w:r>
          </w:p>
        </w:tc>
        <w:tc>
          <w:tcPr>
            <w:tcW w:type="dxa" w:w="15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186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финансирования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6754"/>
            <w:gridSpan w:val="1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Антикризисные мероприятия</w:t>
            </w:r>
          </w:p>
        </w:tc>
        <w:tc>
          <w:tcPr>
            <w:tcW w:type="dxa" w:w="3425"/>
            <w:gridSpan w:val="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антикризисного бюджета на 2016 год, предусматривающий сокращение бюджетных расходов и компенсационные меры по возможным рискам выпадения доходной части бюджета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дефицита бюджета по сравнению с предусмотренным на 2016 год</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количество государственных предприятий, в том числе путем акционирования и ликвидации неэффективных государственных предприятий на основе объективного анализа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государственного участия в экономике: преобразование или ликвидация 100 неэффективных или нефункционирующих государственных предприятий</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трансформации в национальную валюту кредитов, выданных в иностранной валюте</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МФ, МЭ,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процесс проведения переговоров и заключения соглашений со странами-партнерами об осуществлении расчетов в национальных валютах по импортно-экспортным операциям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спроса на доллары США.</w:t>
            </w:r>
          </w:p>
          <w:p>
            <w:pPr>
              <w:jc w:val="left"/>
            </w:pPr>
            <w:r>
              <w:rPr>
                <w:rFonts w:ascii="Arial" w:cs="Arial" w:eastAsia="Arial" w:hAnsi="Arial"/>
                <w:sz w:val="24"/>
                <w:szCs w:val="24"/>
              </w:rPr>
              <w:t xml:space="preserve">Проведение не менее 3-х переговоров, заключение больше 1 контракта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Субсидировать расходы коммерческих банков и специализированных финансово-кредитных учреждений за размещение кредитов по льготным процентным ставкам по программе "Финансирование сельского хозяйства - 4" на 2016 год</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сельскохозяйственной продукции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сельскохозяйственной техники в лизинг, в целях создания центров агротехнического обслуживания и поддержания сельскохозяйственной техники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 лизинг 250 единиц техники.</w:t>
            </w:r>
          </w:p>
          <w:p>
            <w:pPr>
              <w:jc w:val="left"/>
            </w:pPr>
            <w:r>
              <w:rPr>
                <w:rFonts w:ascii="Arial" w:cs="Arial" w:eastAsia="Arial" w:hAnsi="Arial"/>
                <w:sz w:val="24"/>
                <w:szCs w:val="24"/>
              </w:rPr>
              <w:t xml:space="preserve">Повышение производительности сельского хозяйства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ОАО "Айыл Банк"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Инвестиционные кредиты ЕАБР, Турецкой Республики, гранты КНР и Японии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предоставления льготных кредитов для обновления основных фондов, модернизации и технологического переоснащения оборудования для экспортоориентированных предприятий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конкурентоспособного экспортоориентированного производства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РКФР (по согласованию), МФ,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страховую компанию для страхования залогового обеспечения и предоставления гарантий для экспортоориентированных предприятий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экспортоориентированных компаний</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ипотечных кредитов в рамках программы "Доступное жилье 2015-2020"</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жилищных условий работников социальной и бюджетной сферы.</w:t>
            </w:r>
          </w:p>
          <w:p>
            <w:pPr>
              <w:jc w:val="left"/>
            </w:pPr>
            <w:r>
              <w:rPr>
                <w:rFonts w:ascii="Arial" w:cs="Arial" w:eastAsia="Arial" w:hAnsi="Arial"/>
                <w:sz w:val="24"/>
                <w:szCs w:val="24"/>
              </w:rPr>
              <w:t xml:space="preserve">Начало выдачи ипотечных кредитов с февраля 2016 года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МФ, Соцфонд</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пилотный выпуск в свободное обращение 5-10 процентов акций компаний ("голубых фишек") со значительной государственной долей в их капитале, через фондовую биржу</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повышению инвестиционного потенциала компаний с государственной долей участия для привлечения инвестиций из фондового рынка, а также участия населения в вопросах инвестирования</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МЭ, 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некоторые НПА по установлению запрета банкам и другим финансово-кредитным учреждениям на выдачу ипотечных и потребительских кредитов в иностранной валюте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стабильности банковского сектора, минимизация валютного риска, уменьшение уровня долларизации экономики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меры по обеспечению оплаты в безналичной форме сделок по купле-продаже недвижимого и движимого имущества в национальной валюте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платежей в безналичной форме и повышение прозрачности осуществляемых сделок для последующего налогового контроля и пополнения государственного бюджета.</w:t>
            </w:r>
          </w:p>
          <w:p>
            <w:pPr>
              <w:jc w:val="left"/>
            </w:pPr>
            <w:r>
              <w:rPr>
                <w:rFonts w:ascii="Arial" w:cs="Arial" w:eastAsia="Arial" w:hAnsi="Arial"/>
                <w:sz w:val="24"/>
                <w:szCs w:val="24"/>
              </w:rPr>
              <w:t xml:space="preserve">Поэтапное снижение объема сделок по купле-продаже недвижимого и движимого имущества в иностранной валюте</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(по согласованию), коммерческие банки (по согласованию), 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гарантийной суммы для депозитов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размера гарантийной суммы до 200 тыс. сомов</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АЗД (по согласованию), НБ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фонда защиты депозитов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7 ветеринарных и 5 фитосанитарных лабораторий для сертификации продукции сельского хозяйства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выхода отечественных производителей на экспортные рынки.</w:t>
            </w:r>
          </w:p>
          <w:p>
            <w:pPr>
              <w:jc w:val="left"/>
            </w:pPr>
            <w:r>
              <w:rPr>
                <w:rFonts w:ascii="Arial" w:cs="Arial" w:eastAsia="Arial" w:hAnsi="Arial"/>
                <w:sz w:val="24"/>
                <w:szCs w:val="24"/>
              </w:rPr>
              <w:t xml:space="preserve">Обеспечение прохождения сертификации не менее 90% объема продукции сельского хозяйства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грантовая помощь РФ и РК</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обеспечению признания эквивалентности системы ветеринарного контроля республики системам стран-членов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системы ветеринарного контроля системам стран-членов ЕАЭС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снятие ветеринарного контроля на кыргызско-казахстанском участке границы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ограничений на кыргызско-казахстанском участке границы</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механизм субсидирования сертификации системы менеджмента качества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экспорта сертифицированной сельхозпродукции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"зеленого коридора" для упрощения прохождения сельскохозяйственной продукции из/в Кыргызской Республики в/из КНР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на проведение процедур прохождения таможенного контроля сельхозпродукции через границу до 30 минут</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перечень изъятий из Единого таможенного тарифа ЕАЭС для Кыргызской Республики по приоритетным секторам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конкурентоспособности отечественных предпринимателей на рынке ЕАЭС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возмещение сумм превышения НДС по экспортным поставкам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задолженности по возмещению НДС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ГНС,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для субъектов, осуществляющих реэкспорт товаров из третьих стран на территорию государств-участников ЕАЭС, право на освобождение (условное начисление) НДС по импортируемым товарам, при условии подтверждения факта вывоза (экспорта) таких товаров и предоставления мер обеспечения (банковская гарантия, залог, депозит и т.д.)</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дополнительных оборотных и инвестиционных средств субъектов ВЭД</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нижний предел таможенной стоимости товаров, ввозимых в качестве основных средств, до 500 тыс. сомов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обновления основных средств</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внедрение механизма применения контрольно-кассовых машин с функцией передачи данных в режиме онлайн</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движения финансовых потоков, усиление контроля над движением денежных средств, уменьшение теневого оборота наличных средств и увеличение дополнительных поступлений в бюджет</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налог с продаж для субъектов предпринимательства, осуществляющих безналичные расчеты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налогового бремени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механизмам дифференцированных ставок социальных отчислений, налога на прибыль</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налоговой нагрузки и социальных отчислений для бизнеса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План Правительства Кыргызской Республики по развитию экспорта на 2015-2017 годы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мер поддержки и развития экспорта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ТПП (по согласованию), соответствующие министерства и ведомства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выхода строительных компаний на рынок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поиске и выходе отечественных компаний на новые рынки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и практические мероприятия по проработке вопросов участия кыргызских предпринимателей в тендерах в сфере государственных закупок в странах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кыргызских товаров и услуг в странах ЕАЭС</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ГП "ЦЕО"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Пошаговый план мероприятий по продвижению экспорта образовательных услуг</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экспорта услуг</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Продвигать экспорт услуг на целевых рынках</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иностранных инвесторов, туристов, студентов, прибывающих в Кыргызскую Республику</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широкую пиар-кампанию "Сделано в Кыргызстане" с использованием средств массовой информации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формированию общественного мнения о приоритетном приобретении товаров отечественных товаропроизводителей в торговых сетях, крупных магазинах и торговых точках</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МКИТ, Ассоциация рынков и предприятий торговли (по согласованию), ОМСУ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Освободить вновь созданные субъекты предпринимательской деятельности от проверок государственных контролирующих органов на 3 года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административных нагрузок на субъекты предпринимательства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кратность проверок субъектов предпринимательства со стороны государственного санитарно-эпидемиологического надзора и срок контрольной проверки до 1 дня</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проверок</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процедуры и сократить сроки подключения объектов к инженерным сетям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ведения предпринимательской деятельности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 энергокомпании, ОМСУ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камер видеонаблюдения и расходомеров на территориях заводов по производству алкогольной продукции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нелегального оборота алкогольной продукции</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"Технополис для текстильно-швейного производства"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промышленной зоны текстильно-швейного производства</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закупку зерна продовольственной пшеницы урожая 2015-2016 годов, в том числе у отечественных производителей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запасов зерна продовольственной пшеницы не менее чем на 20 тыс. тонн</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ФГМР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товарных запасов продуктов питания (продовольственная пшеница, мясо, масло, сахар и др.) и ГСМ, при необходимости, осуществить товарную интервенцию</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раннего предупреждения рисков повышения цен и своевременное принятие мер</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ФГМР, МФ,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реализацию проекта "Модернизация ТЭЦ города Бишкек"</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главного корпуса турбинного цеха.</w:t>
            </w:r>
          </w:p>
          <w:p>
            <w:pPr>
              <w:jc w:val="left"/>
            </w:pPr>
            <w:r>
              <w:rPr>
                <w:rFonts w:ascii="Arial" w:cs="Arial" w:eastAsia="Arial" w:hAnsi="Arial"/>
                <w:sz w:val="24"/>
                <w:szCs w:val="24"/>
              </w:rPr>
              <w:t xml:space="preserve">2. Монтаж конструкций котла.</w:t>
            </w:r>
          </w:p>
          <w:p>
            <w:pPr>
              <w:jc w:val="left"/>
            </w:pPr>
            <w:r>
              <w:rPr>
                <w:rFonts w:ascii="Arial" w:cs="Arial" w:eastAsia="Arial" w:hAnsi="Arial"/>
                <w:sz w:val="24"/>
                <w:szCs w:val="24"/>
              </w:rPr>
              <w:t xml:space="preserve">3. Установка системы топливоподачи для новых блоков.</w:t>
            </w:r>
          </w:p>
          <w:p>
            <w:pPr>
              <w:jc w:val="left"/>
            </w:pPr>
            <w:r>
              <w:rPr>
                <w:rFonts w:ascii="Arial" w:cs="Arial" w:eastAsia="Arial" w:hAnsi="Arial"/>
                <w:sz w:val="24"/>
                <w:szCs w:val="24"/>
              </w:rPr>
              <w:t xml:space="preserve">4. Строительство системы золошлакоудаления.</w:t>
            </w:r>
          </w:p>
          <w:p>
            <w:pPr>
              <w:jc w:val="left"/>
            </w:pPr>
            <w:r>
              <w:rPr>
                <w:rFonts w:ascii="Arial" w:cs="Arial" w:eastAsia="Arial" w:hAnsi="Arial"/>
                <w:sz w:val="24"/>
                <w:szCs w:val="24"/>
              </w:rPr>
              <w:t xml:space="preserve">5. Строительство ОРУ 110 кВ</w:t>
            </w:r>
          </w:p>
        </w:tc>
        <w:tc>
          <w:tcPr>
            <w:tcW w:type="dxa" w:w="133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40</w:t>
            </w:r>
          </w:p>
        </w:tc>
        <w:tc>
          <w:tcPr>
            <w:tcW w:type="dxa" w:w="251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Проработать вопрос импорта электроэнергии из других стран в целях сохранения уровня воды в Токтогульском водохранилище</w:t>
            </w:r>
          </w:p>
        </w:tc>
        <w:tc>
          <w:tcPr>
            <w:tcW w:type="dxa" w:w="19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Заключение соответствующего соглашения и бесперебойное обеспечение электроэнергией населения</w:t>
            </w:r>
          </w:p>
        </w:tc>
        <w:tc>
          <w:tcPr>
            <w:tcW w:type="dxa" w:w="1335"/>
            <w:gridSpan w:val="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01.05.2016</w:t>
            </w:r>
          </w:p>
        </w:tc>
        <w:tc>
          <w:tcPr>
            <w:tcW w:type="dxa" w:w="2804"/>
            <w:gridSpan w:val="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МЭ, энергокомпании (по согласованию)</w:t>
            </w:r>
          </w:p>
        </w:tc>
        <w:tc>
          <w:tcPr>
            <w:tcW w:type="dxa" w:w="62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51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объединению функций Государственного предприятия «Центр «Единое окно» в сфере внешней торговли при Министерстве экономики Кыргызской Республики и Агентства по продвижению инвестиций при Министерстве экономики Кыргызской Республики в части продвижения экспорта</w:t>
            </w:r>
          </w:p>
        </w:tc>
        <w:tc>
          <w:tcPr>
            <w:tcW w:type="dxa" w:w="196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и предложения о создании единого института по привлечению инвестиций и продвижению экспорта</w:t>
            </w:r>
          </w:p>
        </w:tc>
        <w:tc>
          <w:tcPr>
            <w:tcW w:type="dxa" w:w="1335"/>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10.04.2016</w:t>
            </w:r>
          </w:p>
        </w:tc>
        <w:tc>
          <w:tcPr>
            <w:tcW w:type="dxa" w:w="2804"/>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 ГП ЦЭО</w:t>
            </w:r>
          </w:p>
        </w:tc>
        <w:tc>
          <w:tcPr>
            <w:tcW w:type="dxa" w:w="6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w:t>
            </w:r>
          </w:p>
          <w:p>
            <w:pPr>
              <w:jc w:val="left"/>
            </w:pPr>
            <w:r>
              <w:rPr>
                <w:rFonts w:ascii="Arial" w:cs="Arial" w:eastAsia="Arial" w:hAnsi="Arial"/>
                <w:sz w:val="24"/>
                <w:szCs w:val="24"/>
              </w:rPr>
              <w:t xml:space="preserve">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единый институт по привлечению инвестиций и продвижению экспорта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Институционализация вопроса продвижения экспорта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 ГП ЦЭО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w:t>
            </w:r>
          </w:p>
          <w:p>
            <w:pPr>
              <w:jc w:val="left"/>
            </w:pPr>
            <w:r>
              <w:rPr>
                <w:rFonts w:ascii="Arial" w:cs="Arial" w:eastAsia="Arial" w:hAnsi="Arial"/>
                <w:sz w:val="24"/>
                <w:szCs w:val="24"/>
              </w:rPr>
              <w:t xml:space="preserve">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капитализации государственного гарантийного фонда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доступа к финансированию</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РКФР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РКФР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фонд подготовки проектов при Агентстве по продвижению инвестиций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подготовке качественных проектов для привлечения инвестиций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ФУГИ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Рекомендовать проработать вопрос по созданию на Кыргызской фондовой бирже площадки по товарной торговле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Новые рынки сбыта для товаров Кыргызской Республики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КФБ (по согласова-нию),</w:t>
            </w:r>
          </w:p>
          <w:p>
            <w:pPr>
              <w:jc w:val="left"/>
            </w:pPr>
            <w:r>
              <w:rPr>
                <w:rFonts w:ascii="Arial" w:cs="Arial" w:eastAsia="Arial" w:hAnsi="Arial"/>
                <w:sz w:val="24"/>
                <w:szCs w:val="24"/>
              </w:rPr>
              <w:t xml:space="preserve">Госфин-надзор,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механизмы по формированию инвестиционных лотов для инвесторов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Выставление инвестиционных лотов на ежегодных инвестиционных форумах Кыргызской Республики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МТК,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стоимости и срокам действия патентов для иностранных граждан, работающих в торгово-розничной сфере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Поиск дополнительных источников для пополнения бюджета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краткосрочные курсы по обучению сотрудников органов местного самоуправления по реализации единой инвестиционной политики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потенциала сотрудников ОМСУ в регионах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ГАМСУМО, ПП ПКР в областях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выпуску и обращению муниципальных ценных бумаг в гг. Бишкек и Ош</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Более широкое использование долгосрочных ценных бумаг для финансирования региональных проектов</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Мэрии гг.</w:t>
            </w:r>
          </w:p>
          <w:p>
            <w:pPr>
              <w:jc w:val="left"/>
            </w:pPr>
            <w:r>
              <w:rPr>
                <w:rFonts w:ascii="Arial" w:cs="Arial" w:eastAsia="Arial" w:hAnsi="Arial"/>
                <w:sz w:val="24"/>
                <w:szCs w:val="24"/>
              </w:rPr>
              <w:t xml:space="preserve">Бишкек и Ош (по согласова-нию), МФ, Госфин-надзор, 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муници-пального и республикан-ского бюджетов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земельные участки на территории гг. Бишкек и Ош, а также центров областного и районного значения для размещения инвестиционных производственных объектов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необходимой инфраструктуры для привлечения инвестиций в регионы</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p>
            <w:pPr>
              <w:jc w:val="left"/>
            </w:pPr>
            <w:r>
              <w:rPr>
                <w:rFonts w:ascii="Arial" w:cs="Arial" w:eastAsia="Arial" w:hAnsi="Arial"/>
                <w:sz w:val="24"/>
                <w:szCs w:val="24"/>
              </w:rPr>
              <w:t xml:space="preserve">мэрии гг.</w:t>
            </w:r>
          </w:p>
          <w:p>
            <w:pPr>
              <w:jc w:val="left"/>
            </w:pPr>
            <w:r>
              <w:rPr>
                <w:rFonts w:ascii="Arial" w:cs="Arial" w:eastAsia="Arial" w:hAnsi="Arial"/>
                <w:sz w:val="24"/>
                <w:szCs w:val="24"/>
              </w:rPr>
              <w:t xml:space="preserve">Бишкек и Ош (по согласова-нию), ПП ПКР в областях,</w:t>
            </w:r>
          </w:p>
          <w:p>
            <w:pPr>
              <w:jc w:val="left"/>
            </w:pPr>
            <w:r>
              <w:rPr>
                <w:rFonts w:ascii="Arial" w:cs="Arial" w:eastAsia="Arial" w:hAnsi="Arial"/>
                <w:sz w:val="24"/>
                <w:szCs w:val="24"/>
              </w:rPr>
              <w:t xml:space="preserve">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муници-пального и республикан-ского бюдже-тов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международную компанию по созданию и продвижению бренда Кыргызстана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промопродукции об инвестиционных возможностях, продукции и услугах Кыргызстана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Донорские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с Республикой Казахстан по применению уполномоченными органами Республики Казахстан унифицированного тарифа по видам сообщений (экспортный, импортный, внутриреспуб-ликанский) на перевозку нефтепродуктов железнодорож-ным транспортом в Кыргызскую Республику из Российской Федерации транзитом через Республику Казахстан</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цен ввозимых ГСМ на 40-50 долл. США за тонну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года</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«НК «КТЖ», ассоциация нефтетрейде-ров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мероприятий по продвижению экспорта медицинских услуг</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содействия расширению медицинских услуг для иностранных граждан, привлечение иностранной валюты</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продвижения на экспорт органической сельскохозяйст-венной продукции в третьи страны</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органической продукции Кыргызстана на рынок КНР</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МИД, ГИФВБ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внешних рынков для последующего сбыта сельскохозяйственной продукции по видам (фасоль, свекла, картофель и др.)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по выходу на новые рынки сбыта сельхоз-продукции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сельхозпроизводителей республики минеральными удобрениями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Закупка минеральных удобрений из Республики Узбекистан в объеме</w:t>
            </w:r>
          </w:p>
          <w:p>
            <w:pPr>
              <w:jc w:val="left"/>
            </w:pPr>
            <w:r>
              <w:rPr>
                <w:rFonts w:ascii="Arial" w:cs="Arial" w:eastAsia="Arial" w:hAnsi="Arial"/>
                <w:sz w:val="24"/>
                <w:szCs w:val="24"/>
              </w:rPr>
              <w:t xml:space="preserve">100 тыс.т аммиачной селитры и 40 тыс.т карбамида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Специальные средства ФГМР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своевременную закупку вакцин и качественное проведение противоэпизоотических мероприятий (весенняя вакцинация сельскохозяйственных животных)</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мониторинга и анализ риска эпизоотии среди сельскохозяйственных животных и снижение показателей особо опасных заболеваний животных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зону аккредитации ветеринарных диагностических лабораторий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в соответствие с международными стандартами ветеринарных диагностичес-ких лабораторий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гранта РФ</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по идентификации крупного рогатого скота в пилотных районах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эпизоотического благополучия республики.</w:t>
            </w:r>
          </w:p>
          <w:p>
            <w:pPr>
              <w:jc w:val="left"/>
            </w:pPr>
            <w:r>
              <w:rPr>
                <w:rFonts w:ascii="Arial" w:cs="Arial" w:eastAsia="Arial" w:hAnsi="Arial"/>
                <w:sz w:val="24"/>
                <w:szCs w:val="24"/>
              </w:rPr>
              <w:t xml:space="preserve">Улучшение ветеринарного контроля (надзора)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механизм предоставления кредитов для оборотных средств экспортоориентированных предприятий</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конкурентоспособного экспортоориентированного производства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РКФР</w:t>
            </w:r>
          </w:p>
          <w:p>
            <w:pPr>
              <w:jc w:val="left"/>
            </w:pPr>
            <w:r>
              <w:rPr>
                <w:rFonts w:ascii="Arial" w:cs="Arial" w:eastAsia="Arial" w:hAnsi="Arial"/>
                <w:sz w:val="24"/>
                <w:szCs w:val="24"/>
              </w:rPr>
              <w:t xml:space="preserve">(по согла-сованию), МФ, 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перечень предприятий животноводческой отрасли для включения в единый реестр ЕАЭС</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экспорта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ГИФВБ</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установления минимального уровня контрольных цен для товаров, импортируемых и реализуемых на территории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местных производите-лей, а также потребительского рынка от необоснованного снижения цен на товары, импортируемые в Кыргызскую Республику, а также реализуемые на территории Кыргызской Республики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ГТС, ГНС</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квоты для поставок продукции малого и среднего бизнеса в рамках государственных закупок</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малых и средних предприятий к государственным закупкам</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стимулирующие меры по увеличению членства предпринимателей в отраслевых ассоциациях и в Торгово-промышленной палате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роли ассоциаций и Торгово-промышленной палаты Кыргызской Республики в продвижении и защите интересов бизнеса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ТПП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ТПП</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финансирования из средств Российско-Кыргызского Фонда развития (РКФР) подготовить изменения в кредитную политику, направленные на:</w:t>
            </w:r>
          </w:p>
          <w:p>
            <w:pPr>
              <w:jc w:val="left"/>
            </w:pPr>
            <w:r>
              <w:rPr>
                <w:rFonts w:ascii="Arial" w:cs="Arial" w:eastAsia="Arial" w:hAnsi="Arial"/>
                <w:sz w:val="24"/>
                <w:szCs w:val="24"/>
              </w:rPr>
              <w:t xml:space="preserve">- снижение собственного вклада со стороны заявителей с 20 % до 15 % от общей стоимости проекта;</w:t>
            </w:r>
          </w:p>
          <w:p>
            <w:pPr>
              <w:jc w:val="left"/>
            </w:pPr>
            <w:r>
              <w:rPr>
                <w:rFonts w:ascii="Arial" w:cs="Arial" w:eastAsia="Arial" w:hAnsi="Arial"/>
                <w:sz w:val="24"/>
                <w:szCs w:val="24"/>
              </w:rPr>
              <w:t xml:space="preserve">- изменение сроков кредитования;</w:t>
            </w:r>
          </w:p>
          <w:p>
            <w:pPr>
              <w:jc w:val="left"/>
            </w:pPr>
            <w:r>
              <w:rPr>
                <w:rFonts w:ascii="Arial" w:cs="Arial" w:eastAsia="Arial" w:hAnsi="Arial"/>
                <w:sz w:val="24"/>
                <w:szCs w:val="24"/>
              </w:rPr>
              <w:t xml:space="preserve">- размещение свободных средств РКФР в коммерческих банках Кыргызской Республики;</w:t>
            </w:r>
          </w:p>
          <w:p>
            <w:pPr>
              <w:jc w:val="left"/>
            </w:pPr>
            <w:r>
              <w:rPr>
                <w:rFonts w:ascii="Arial" w:cs="Arial" w:eastAsia="Arial" w:hAnsi="Arial"/>
                <w:sz w:val="24"/>
                <w:szCs w:val="24"/>
              </w:rPr>
              <w:t xml:space="preserve">- возможность рефинансирования ранее полученных кредитов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доступа к финансированию</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порядок закрытия бизнеса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сроков, затрат, числа процедур при ликвидации бизнеса</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ГНС, СФ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лизинговый продукт для сельскохозяйственной техники отечественного производства с учетом сокращения требований по первоначальному взносу до 10 %</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охвата лизинговыми операциями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p>
            <w:pPr>
              <w:jc w:val="left"/>
            </w:pPr>
            <w:r>
              <w:rPr>
                <w:rFonts w:ascii="Arial" w:cs="Arial" w:eastAsia="Arial" w:hAnsi="Arial"/>
                <w:sz w:val="24"/>
                <w:szCs w:val="24"/>
              </w:rPr>
              <w:t xml:space="preserve">«РСК Банк» (по согласованию), ОАО «Айыл Банк»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по увеличению дополнительных энергетических мощностей в целях развития бизнеса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Выработка дополнительных энергетических мощностей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ОАО «НЭХК»</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Перевести электрическую котельную в городе Кызыл-Кия на альтернативный вид топлива, в том числе на уголь, и проработать вопрос о передаче ее на баланс органа местного самоуправления</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энергетических мощностей для других целей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(по согла-сованию), МЭ, ОАО «Электричес-кие станции»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ОАО «Электрические станции»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вопросы о реконструкции ТЭЦ г. Ош с переводом на использование твердого топлива (уголь) и передаче ее на баланс мэрии г. Ош</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ТЭЦ г. Ош</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«НЭХК» по (согла-сованию), ОАО «Электричес-кие станции» (по согласо-ванию),</w:t>
            </w:r>
          </w:p>
          <w:p>
            <w:pPr>
              <w:jc w:val="left"/>
            </w:pPr>
            <w:r>
              <w:rPr>
                <w:rFonts w:ascii="Arial" w:cs="Arial" w:eastAsia="Arial" w:hAnsi="Arial"/>
                <w:sz w:val="24"/>
                <w:szCs w:val="24"/>
              </w:rPr>
              <w:t xml:space="preserve">мэрия г.Ош (по согласованию), МФ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мероприятий по переводу электрических котельных социальных, образовательных объектов и учреждений здравоохранения на альтернативные виды топлива (уголь, газ и т.д.)</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энергетических мощностей для других целей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МОН, МТСР, МЗ, МФ, ОАО «НЭХК» (по согла-сованию),</w:t>
            </w:r>
          </w:p>
          <w:p>
            <w:pPr>
              <w:jc w:val="left"/>
            </w:pPr>
            <w:r>
              <w:rPr>
                <w:rFonts w:ascii="Arial" w:cs="Arial" w:eastAsia="Arial" w:hAnsi="Arial"/>
                <w:sz w:val="24"/>
                <w:szCs w:val="24"/>
              </w:rPr>
              <w:t xml:space="preserve">ГП «Кыргыз-жилком-мунсоюз», КП «Бишкек-теплоэнерго»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по организации сборки и производства счетчиков АСКУЭ на территории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заказ на производство счетчиков АСКУЭ</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«НЭХК» (по согласова-нию), МЭ, распреде-лительные электро-компании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ОАО «НЭХК» и распредели-тельных электрокомпа-ний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стимулирующим мерам для кооперации фермерских хозяйств</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Возможность формирования однотипной продукции в больших объемах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ОМСУ (по согласованию), ГАМСУМО</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Изменить тарифную политику по государственному социальному страхованию для крестьянских, фермерских хозяйств и индивидуальных предпринимателей, занятых на рынках, в сторону снижения</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нагрузки социальных отчислений для КФХ и ИП</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СФ</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сертифицированными семенами зерновых культур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до 75 % посевов зерновых культур сертифицированными семенами</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01.03.2016</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 31 пилотном айылном аймаке искусственное осеменение маточного поголовья крупного рогатого скота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племенного дела в регионах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10.08.2016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организационные меры по созданию организаций по оказанию механизированных агротехнических услуг (машинно-тракторных станций) в регионах Кыргызской Республики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сети машинно-тракторных станций (МТС)</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внутренних и внешних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себестоимость строительства одного квадратного метра социальных объектов (школы, больницы и др.) с учетом удешевления строительных материалов и перевода стоимости в национальную валюту</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стоимости строительства и реконструкции социальных объектов, а также типовых школ</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01.05.2016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Ускорить процесс ввода в эксплуатацию всех объектов строительства, завершенных в 2015 году</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объектов строительства в срок</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дополнительные инвестиции на реализацию проектов в сфере улучшения доступа населения к чистой питьевой воде</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дополнитель-ного финансирования на проекты по обеспечению сел чистой питьевой водой</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Ввести краткосрочные и бесплатные курсы обучения и переобучения на базе ПТО в рамках соответствующих программ содействия занятости</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безработных, направленных на обучение (не менее 8000 чел.). Доля трудоустроенных безработных после обучения (не менее 50 %)</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p>
            <w:pPr>
              <w:jc w:val="left"/>
            </w:pPr>
            <w:r>
              <w:rPr>
                <w:rFonts w:ascii="Arial" w:cs="Arial" w:eastAsia="Arial" w:hAnsi="Arial"/>
                <w:sz w:val="24"/>
                <w:szCs w:val="24"/>
              </w:rPr>
              <w:t xml:space="preserve">ГАМСУМО, МФ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подготовку кадров для поддержки развития предпринимательского сектора в соответствии с заявками работодателей (целевой набор)</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Фонд развития навыков.</w:t>
            </w:r>
          </w:p>
          <w:p>
            <w:pPr>
              <w:jc w:val="left"/>
            </w:pPr>
            <w:r>
              <w:rPr>
                <w:rFonts w:ascii="Arial" w:cs="Arial" w:eastAsia="Arial" w:hAnsi="Arial"/>
                <w:sz w:val="24"/>
                <w:szCs w:val="24"/>
              </w:rPr>
              <w:t xml:space="preserve">Не менее 1000 учащихся начального профессионального образования пройдут подготовку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за счет средств проекта 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размер гарантированного минимального дохода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малообеспеченных семей. Увеличение размера гарантированного минимального дохода не менее чем на 10 % по отношению к предыдущему году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размер единого пособия малообеспеченным семьям</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малообеспеченных семей. Увеличение ЕПМС не менее чем на 10 % по отношению к предыдущему году</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малообеспеченные семьи с низким статусом продовольственной безопасности дополнительной продуктовой помощью (мука, растительное масло) с учетом участия в общественно-полезных работах</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продуктовой помощи не менее 15,0 тыс. малообеспеченных семей с учетом участия в общественно-полезных работах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страховой части пенсии на 10 % с 1 октября 2016 года</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пенсионеров</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СФ</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бюджета СФ</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дополнительный охват 100 школ горячим питанием в рамках программы ВПП ООН</w:t>
            </w:r>
          </w:p>
        </w:tc>
        <w:tc>
          <w:tcPr>
            <w:tcW w:type="dxa" w:w="19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питания учащихся начальных классов в государственных и муниципальных школах</w:t>
            </w:r>
          </w:p>
        </w:tc>
        <w:tc>
          <w:tcPr>
            <w:tcW w:type="dxa" w:w="133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280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ВПП ООН</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МОБИЛИЗАЦИЯ ИСПОЛНИТЕЛЬНОЙ ВЛАСТИ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Усилить эффективность планирования работы государственных органов, мониторинг реализации принятых решений, контроль за дисциплиной и качеством работы государственных служащих</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251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процедуры подготовки и принятия решений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высокого уровня оперативности и качества принимаемых решений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АПКР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документооборота в Аппарате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ЦЭУ</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планирования и проведения заседаний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результативности деятельности Правительства Кыргызской Республики путем оптимизации форматов принятия правительственных решений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31.05.2016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действующих стратегических программных документов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и/или изменение стратегических программных документов, имеющих декларативный характер и содержащих формальные меры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31.03.2016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методологию осуществления контроля исполнения решений Правительства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и прозрачности инструментария контроля за своевременностью и качеством принятых решений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Делегировать ряд нормотворческих полномочий Правительства Кыргызской Республики ряду государственных органов исполнительной власти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оперативности принятия государственных решений в экономике и социальной сфере; повышение самостоятельности и ответственности руководителей государственных органов за принимаемые государственные решения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принятием Закона Кыргызской Республики "О конфликте интересов" разработать и утвердить подзаконные акты, направленные на формализацию системы декларирования личных интересов, детализации вводимых ограничений и мер ответственности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Формализация системы декларирования личных интересов, детализация вводимых ограничений и мер ответственности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ГКС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партнеров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практику осуществления регулярного мониторинга реализации антикоррупционных мер на государственном и ведомственном уровнях</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Опубликование ежеквартальных сводных отчетов, обсуждение результатов мониторинга на заседаниях Правительства Кыргызской Республики по итогам каждого полугодия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соответствии с календарными планами</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 НПО (по согласованию), ОС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1.1.8</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меры по устранению коллизий, пробелов и коррупционных норм в законодательстве</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законодательной базы Кыргызской Республики с проведением ее полной инвентаризации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требует финансирования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1.1.9</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повышению правовой культуры населения Кыргызской Республики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Концепции повышения правовой культуры населения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организаций и частично за счет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1.1.10</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центры оказания гарантированной государством юридической помощи</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гарантированной государством юридической помощи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международных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251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обучающие семинары, "круглые столы", тренинги для уполномоченных лиц государственных органов, ответственных за реализацию антикоррупционной политики по разработке и реализации антикоррупционных ведомственных программ, статс-секретарей государственных органов, представителей институтов гражданского общества, членов общественных советов государственных органов, ОМСУ</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учебно-методической литературы и пособий по антикоррупционному образованию, просвещению и пропаганде; определение целевых групп, способных влиять на снижение коррупционных проявлений, проведение обучающих и тематических мероприятий по антикоррупционной тематике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872"/>
            <w:gridSpan w:val="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ПРООН, ОБСЕ, Совет Европы и др.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качество предоставляемых государством услуг</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Ускорить процесс разработки и утверждения стандартов и административных регламентов государственных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(100%) стандартов государственных услуг;</w:t>
            </w:r>
          </w:p>
          <w:p>
            <w:pPr>
              <w:jc w:val="left"/>
            </w:pPr>
            <w:r>
              <w:rPr>
                <w:rFonts w:ascii="Arial" w:cs="Arial" w:eastAsia="Arial" w:hAnsi="Arial"/>
                <w:sz w:val="24"/>
                <w:szCs w:val="24"/>
              </w:rPr>
              <w:t xml:space="preserve">сокращение сроков оказания государственных услуг;</w:t>
            </w:r>
          </w:p>
          <w:p>
            <w:pPr>
              <w:jc w:val="left"/>
            </w:pPr>
            <w:r>
              <w:rPr>
                <w:rFonts w:ascii="Arial" w:cs="Arial" w:eastAsia="Arial" w:hAnsi="Arial"/>
                <w:sz w:val="24"/>
                <w:szCs w:val="24"/>
              </w:rPr>
              <w:t xml:space="preserve">разработка (30%) административных регламентов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государственный портал электронных государственных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десяти видов приоритетных государственных услуг в электронном формате.</w:t>
            </w:r>
          </w:p>
          <w:p>
            <w:pPr>
              <w:jc w:val="left"/>
            </w:pPr>
            <w:r>
              <w:rPr>
                <w:rFonts w:ascii="Arial" w:cs="Arial" w:eastAsia="Arial" w:hAnsi="Arial"/>
                <w:sz w:val="24"/>
                <w:szCs w:val="24"/>
              </w:rPr>
              <w:t xml:space="preserve">Повышение доступности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качество муниципальных услуг и расширить их доступность через открытие центров предоставления услуг (ЦПУ)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стандартов муниципальных услуг, входящих в Базовый реестр муниципальных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центров предоставления услуг (20 ЦПУ)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местного бюджета и средства международных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систему понятий и категорий в области электронного управления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 "Об электронном управлении"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"единого окна" при предоставлении до 10 видов государственных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Достижение прозрачности и упрощения процедур оказания услуг населению, синхронизация работы разных ведомств, снижение временных и финансовых затрат граждан при получении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"электронное правительство" и принцип "единого окна" при оказании государственных услуг гражданам, с интеграцией таких инициатив государственных органов, как "Безопасный город", "Единая информационная система здравоохранения", "Единая база лекарств и медицинских препаратов", "Единая образовательная информационная система", "Автоматизированная система учета и регистрации актов гражданского состояния", "Корпоративная информационная система социальной помощи" и др., в общую систему "электронного правительства"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26 видов электронных государственных услуг в едином портале электронного правительства www.egov.kg</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средства международных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Дополнить автоматизированную информационную систему "Записи актов гражданского состояния" модулем персонификации документов государственного значения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до 70% процесса персонификации документов государственного значения органов ЗАГС</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МЮ, ГКНБ, 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международные организации, собственные средства ГРС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полномасштабный запуск автоматизации управления к 2017 году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"ядро электронного правительства" Кыргызской Республики, включающей Государственный регистр населения, правовые единицы, недвижимость, адреса и земли, порталы и шлюзы электронного правительства, единую транспортную среду государственных органов и удостоверяющий центр государственных органов по ЭЦП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средства донорских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улучшению формы взаимодействия государственных органов и институтов гражданского общества в Кыргызской Республике, а также обеспечения прозрачности процедур принятия решений, снижения уровня коррупции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Меры по повышению индекса доверия населения к органам исполнительной власти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"единого окна" при проведении экспертиз промышленной, экологической безопасности, в области использования и охраны недр и предоставлении прав пользования недрами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излишних административных барьеров для инвесторов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Минимизировать коррупционные риски при предоставлении права пользования недрами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 "О внесении изменений в Закон Кыргызской Республики "О недрах", предусматривающий замену прямых переговоров на правило "первой поданной заявки"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визу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выдачи виз для иностранных туристов.</w:t>
            </w:r>
          </w:p>
          <w:p>
            <w:pPr>
              <w:jc w:val="left"/>
            </w:pPr>
            <w:r>
              <w:rPr>
                <w:rFonts w:ascii="Arial" w:cs="Arial" w:eastAsia="Arial" w:hAnsi="Arial"/>
                <w:sz w:val="24"/>
                <w:szCs w:val="24"/>
              </w:rPr>
              <w:t xml:space="preserve">Расширение спектра государственных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МИД, ЦЭУ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Продвигать экспорт услуг на целевых рынках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иностранных инвесторов, туристов, студентов, прибывающих в Кыргызскую Республику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Пошаговый план мероприятий по продвижению экспорта образовательных услуг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экспорта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Повысить мотивацию государственных служащих и кадровый потенциал</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предложения, направленные на достижение уровня заработной платы государственных служащих, соотносимого с заработной платой специалистов аналогичного профиля в частном секторе. Разработать предложения о внедрении социального пакета для госслужащих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мотивации государственных служащих и кадрового потенциала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ГКС (по согласованию), МФ, ФПК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профессионализацию сферы государственной службы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барьеров для партийного невмешательства в сферу продвижения государственных служащих органов исполнительной власти.</w:t>
            </w:r>
          </w:p>
          <w:p>
            <w:pPr>
              <w:jc w:val="left"/>
            </w:pPr>
            <w:r>
              <w:rPr>
                <w:rFonts w:ascii="Arial" w:cs="Arial" w:eastAsia="Arial" w:hAnsi="Arial"/>
                <w:sz w:val="24"/>
                <w:szCs w:val="24"/>
              </w:rPr>
              <w:t xml:space="preserve">Разработка механизма карьерного продвижения государственных служащих на основе оценки результатов их деятельности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АПКР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системное и целевое обучение государственных и муниципальных служащих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решения Правительства Кыргызской Республики о государственном заказе на обучение государственных и муниципальных служащих на 2017 год. Улучшение уровня профессионализма государственных и муниципальных служащих; повышение эффективности деятельности государственных и муниципальных служащих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АГУП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Ограничительные рычаги для государственного служащего и коррупционности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1.4.1</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профилактику коррупционных действий в сфере государственной службы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проекта Закона Кыргызской Республики "О конфликте интересов". Внедрение нормативной базы по исключению условий для коррупционных проявлений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выявления зон повышенного коррупционного риска, в том числе на основе опроса общественного мнения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АПКР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1.4.2</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центральных аппаратах государственных органов электронные базы данных о персонале, размерах заработной платы, декларировании доходов и имущества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порядка и правил ведения электронных баз данных о персонале, размерах заработной платы, декларировании доходов и имущества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ГКС (по согласованию),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электронных баз данных в кадровых подразделениях центральных аппаратов государственных органов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активное взаимодействие государственных органов, неправительственных организаций и бизнес-сообщества в сфере противодействия коррупции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и функционирование единой коммуникационной диалоговой площадки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 НПО (по согласованию), бизнес-ассоциации (по согласованию), общественные советы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антикоррупционный сайт Правительства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антикоррупционного сайта Правительства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АПКР, ЦЭУ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новые площадки для проведения эффективного диалога государственных органов с бизнес-сообществом по вопросу повышения его информированности о рисках коррупции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показателей "Индекса восприятия коррупции"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АПКР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Совершенствовать систему и процедуру проведения антикоррупционной экспертизы НПА и проектов НПА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новой методики проведения антикоррупционной экспертизы НПА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Генпрокуратура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оценки и управления коррупционными рисками и сформировать базу данных зон коррупционных рисков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методики и ведение базы данных зон коррупционных рисков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механизмы участия бизнес-сообществ в разработке государственной политики, затрагивающей интересы частного сектора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вовлеченности бизнес-сообществ в разработке государственной политики, затрагивающей интересы частного сектора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государственные органы, ОМСУ (по согласованию), НПО (по согласованию), ОС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антикоррупционные информационные кампании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тематических конкурсов, создание видео роликов, плакатов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государственные органы, ОМСУ (по согласованию), НПО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Партнеры по развитию (ПРООН, ОБСЕ, Совет Европы)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МАКРОЭКОНОМИЧЕСКУЮ СТАБИЛЬНОСТЬ</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Запуск производственных мощностей и создание новых рабочих мест</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и промышленную эксплуатацию завода по производству металлургического кремния в гор. Таш-Кумыр (ОсОО "Кварц")</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5 тыс. т металлургического кремния.</w:t>
            </w:r>
          </w:p>
          <w:p>
            <w:pPr>
              <w:jc w:val="left"/>
            </w:pPr>
            <w:r>
              <w:rPr>
                <w:rFonts w:ascii="Arial" w:cs="Arial" w:eastAsia="Arial" w:hAnsi="Arial"/>
                <w:sz w:val="24"/>
                <w:szCs w:val="24"/>
              </w:rPr>
              <w:t xml:space="preserve">Пополнение республиканского и местного бюджетов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ПП ПКР в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 менее 7 открытых конкурсов на месторождения общегосударственного значения:</w:t>
            </w:r>
          </w:p>
          <w:p>
            <w:pPr>
              <w:jc w:val="left"/>
            </w:pPr>
            <w:r>
              <w:rPr>
                <w:rFonts w:ascii="Arial" w:cs="Arial" w:eastAsia="Arial" w:hAnsi="Arial"/>
                <w:sz w:val="24"/>
                <w:szCs w:val="24"/>
              </w:rPr>
              <w:t xml:space="preserve">- Кара-Кече (разработка месторождения, строительство ТЭС и разработка ТЭО ж/д Балыкчы-Кочкор-Кара-Кече);</w:t>
            </w:r>
          </w:p>
          <w:p>
            <w:pPr>
              <w:jc w:val="left"/>
            </w:pPr>
            <w:r>
              <w:rPr>
                <w:rFonts w:ascii="Arial" w:cs="Arial" w:eastAsia="Arial" w:hAnsi="Arial"/>
                <w:sz w:val="24"/>
                <w:szCs w:val="24"/>
              </w:rPr>
              <w:t xml:space="preserve">- Кутессай-II (редкоземельные элементы) и Калесай (бериллий);</w:t>
            </w:r>
          </w:p>
          <w:p>
            <w:pPr>
              <w:jc w:val="left"/>
            </w:pPr>
            <w:r>
              <w:rPr>
                <w:rFonts w:ascii="Arial" w:cs="Arial" w:eastAsia="Arial" w:hAnsi="Arial"/>
                <w:sz w:val="24"/>
                <w:szCs w:val="24"/>
              </w:rPr>
              <w:t xml:space="preserve">- Сулюкта, поле № 11 (уголь);</w:t>
            </w:r>
          </w:p>
          <w:p>
            <w:pPr>
              <w:jc w:val="left"/>
            </w:pPr>
            <w:r>
              <w:rPr>
                <w:rFonts w:ascii="Arial" w:cs="Arial" w:eastAsia="Arial" w:hAnsi="Arial"/>
                <w:sz w:val="24"/>
                <w:szCs w:val="24"/>
              </w:rPr>
              <w:t xml:space="preserve">- Туюк-Каргаша (каменный уголь);</w:t>
            </w:r>
          </w:p>
          <w:p>
            <w:pPr>
              <w:jc w:val="left"/>
            </w:pPr>
            <w:r>
              <w:rPr>
                <w:rFonts w:ascii="Arial" w:cs="Arial" w:eastAsia="Arial" w:hAnsi="Arial"/>
                <w:sz w:val="24"/>
                <w:szCs w:val="24"/>
              </w:rPr>
              <w:t xml:space="preserve">- Акарт (белый мрамор);</w:t>
            </w:r>
          </w:p>
          <w:p>
            <w:pPr>
              <w:jc w:val="left"/>
            </w:pPr>
            <w:r>
              <w:rPr>
                <w:rFonts w:ascii="Arial" w:cs="Arial" w:eastAsia="Arial" w:hAnsi="Arial"/>
                <w:sz w:val="24"/>
                <w:szCs w:val="24"/>
              </w:rPr>
              <w:t xml:space="preserve">- Аксай (известняк);</w:t>
            </w:r>
          </w:p>
          <w:p>
            <w:pPr>
              <w:jc w:val="left"/>
            </w:pPr>
            <w:r>
              <w:rPr>
                <w:rFonts w:ascii="Arial" w:cs="Arial" w:eastAsia="Arial" w:hAnsi="Arial"/>
                <w:sz w:val="24"/>
                <w:szCs w:val="24"/>
              </w:rPr>
              <w:t xml:space="preserve">- Тегене (угольный участок "Тегене-Шахтный")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w:t>
            </w:r>
          </w:p>
          <w:p>
            <w:pPr>
              <w:jc w:val="left"/>
            </w:pPr>
            <w:r>
              <w:rPr>
                <w:rFonts w:ascii="Arial" w:cs="Arial" w:eastAsia="Arial" w:hAnsi="Arial"/>
                <w:sz w:val="24"/>
                <w:szCs w:val="24"/>
              </w:rPr>
              <w:t xml:space="preserve">Решение социальных вопросов, создание новых предприятий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МТК, МЭ, ПП ПКР в областях,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ГАГМР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 менее 10 открытых аукционов на местах расположения объектов недропользования, с привлечением местных жителей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республиканского и местного бюджетов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МКИТ, МЭ, ПП ПКР в областях,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ГАГМР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Токмокского нефтеперерабатывающего завода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нефтеперерабатывающего предприятия сырьем - сырой нефтью;</w:t>
            </w:r>
          </w:p>
          <w:p>
            <w:pPr>
              <w:jc w:val="left"/>
            </w:pPr>
            <w:r>
              <w:rPr>
                <w:rFonts w:ascii="Arial" w:cs="Arial" w:eastAsia="Arial" w:hAnsi="Arial"/>
                <w:sz w:val="24"/>
                <w:szCs w:val="24"/>
              </w:rPr>
              <w:t xml:space="preserve">производство ГСМ (100 тыс. т);</w:t>
            </w:r>
          </w:p>
          <w:p>
            <w:pPr>
              <w:jc w:val="left"/>
            </w:pPr>
            <w:r>
              <w:rPr>
                <w:rFonts w:ascii="Arial" w:cs="Arial" w:eastAsia="Arial" w:hAnsi="Arial"/>
                <w:sz w:val="24"/>
                <w:szCs w:val="24"/>
              </w:rPr>
              <w:t xml:space="preserve">создание рабочих мест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 ПППКР в Чуйской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промышленную эксплуатацию Кара-Балтинского нефтеперерабатывающего завода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обеспечении нефтеперерабатывающего предприятия сырьем - сырой нефтью, доведения производственной мощности до 500 тыс. 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 ПППКР в Чуйской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нефтеперерабатывающий завод в гор. Таш-Кумыр</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светлых ГСМ</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МИД, ПППКР в Джалал-Абадской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Ускорить разработку месторождения Джеруй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проведении экспертизы технического проекта золотоизвлекающей фабрики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ГАООСЛХ, ГААСЖКХ, ГИЭТБ, ОМСУ (по согласованию)</w:t>
            </w:r>
          </w:p>
        </w:tc>
        <w:tc>
          <w:tcPr>
            <w:tcW w:type="dxa" w:w="124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строительства золотоизвлекающей фабрики на месторождении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gridSpan w:val="6"/>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горно-обогатительного комбината для промышленной эксплуатации месторождения Иштамберды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запуску месторождения Иштамберди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на полную производственную мощность золотоизвлекательной фабрики на золоторудном месторождении Талды-Булак Левобережный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сплава Доре, 2,0 тонны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ОАО "Кыргызалтын" (по согласованию), аппарат ПППКР в Чуйской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на полную производственную мощность горно-обогатительной фабрики на медно-золотом месторождении Бозымчак</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Производство медно-золотого концентрата, 31000 тонн</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ПППКР в Джалал-Абадской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запуск горно-обогатительного комбината ОсОО "Кайди" в Ошской области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запуску горно-обогатительного комбината по производству золота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ПППКР в Ошской области,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Поддержание макроэкономической стабильности и предсказуемости экономической политики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Совместное заявление Правительства Кыргызской Республики и Национального банка Кыргызской Республики об основных направлениях экономической политики на 2016 год</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основных направлений экономической политики на 2016 год.</w:t>
            </w:r>
          </w:p>
          <w:p>
            <w:pPr>
              <w:jc w:val="left"/>
            </w:pPr>
            <w:r>
              <w:rPr>
                <w:rFonts w:ascii="Arial" w:cs="Arial" w:eastAsia="Arial" w:hAnsi="Arial"/>
                <w:sz w:val="24"/>
                <w:szCs w:val="24"/>
              </w:rPr>
              <w:t xml:space="preserve">Принятие постановления Правительства Кыргызской Республики и Национального банка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закупку зерна продовольственной пшеницы урожая 2015-2016 годов, в том числе у отечественных производителей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Пополнение запасов зерна продовольственной пшеницы не менее чем на 20 тыс. тонн</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ФГМР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сбалансированность государственных финансов и удержать дефицит на уровне [4-5] процентов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100% сбор платежей за потребленную электроэнергию по всем категориям потребителей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 платежей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Снизить дебиторскую задолженность энергетических компаний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управления энергетическими компаниями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потери электроэнергии на 1% в распределительных энергетических компаниях по сравнению с 2015 годом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управления энергетическими компаниями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приборов АСКУЭ для небытовых потребителей в объеме 12-15% от количества небытовых абонентов обслуживаемых регионов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коммерческих потерь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распредкомпаний и донорские средства, средства небытовых потребителей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нормативы (через обследование состояния энергооборудования) и утвердить нормативные технологические потери электроэнергии в электрических сетях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нормативных технологических потерь электроэнергии в электрических сетях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распределительные энергокомпании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Соглашение о Подпрограмме 2 Второй Программы улучшения инвестиционного климата (ПУИК) и внести проект Закона Кыргызской Республики на ратификацию в Жогорку Кенеш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и ратификация Соглашения.</w:t>
            </w:r>
          </w:p>
          <w:p>
            <w:pPr>
              <w:jc w:val="left"/>
            </w:pPr>
            <w:r>
              <w:rPr>
                <w:rFonts w:ascii="Arial" w:cs="Arial" w:eastAsia="Arial" w:hAnsi="Arial"/>
                <w:sz w:val="24"/>
                <w:szCs w:val="24"/>
              </w:rPr>
              <w:t xml:space="preserve">Поступление 20 млн. долларов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НБ (по согласованию), МЗ, МТК, АПИ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Подписать Соглашение "Операции в поддержку программ развития Всемирного банка (ОППР)" и внести проект Закона Кыргызской Республики на ратификацию в Жогорку Кенеш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Подписание и ратификация Соглашения.</w:t>
            </w:r>
          </w:p>
          <w:p>
            <w:pPr>
              <w:jc w:val="left"/>
            </w:pPr>
            <w:r>
              <w:rPr>
                <w:rFonts w:ascii="Arial" w:cs="Arial" w:eastAsia="Arial" w:hAnsi="Arial"/>
                <w:sz w:val="24"/>
                <w:szCs w:val="24"/>
              </w:rPr>
              <w:t xml:space="preserve">Поступление 24 млн. долл.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 ГНС, ГАРТЭК, МТК, ГАС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дополнительные поступления средств от приватизации:</w:t>
            </w:r>
          </w:p>
          <w:p>
            <w:pPr>
              <w:jc w:val="left"/>
            </w:pPr>
            <w:r>
              <w:rPr>
                <w:rFonts w:ascii="Arial" w:cs="Arial" w:eastAsia="Arial" w:hAnsi="Arial"/>
                <w:sz w:val="24"/>
                <w:szCs w:val="24"/>
              </w:rPr>
              <w:t xml:space="preserve">- ОсОО "Идеал Хаус";</w:t>
            </w:r>
          </w:p>
          <w:p>
            <w:pPr>
              <w:jc w:val="left"/>
            </w:pPr>
            <w:r>
              <w:rPr>
                <w:rFonts w:ascii="Arial" w:cs="Arial" w:eastAsia="Arial" w:hAnsi="Arial"/>
                <w:sz w:val="24"/>
                <w:szCs w:val="24"/>
              </w:rPr>
              <w:t xml:space="preserve">- 51% государственного пакета акций ОАО "Авиакомпания "Кыргызстан";</w:t>
            </w:r>
          </w:p>
          <w:p>
            <w:pPr>
              <w:jc w:val="left"/>
            </w:pPr>
            <w:r>
              <w:rPr>
                <w:rFonts w:ascii="Arial" w:cs="Arial" w:eastAsia="Arial" w:hAnsi="Arial"/>
                <w:sz w:val="24"/>
                <w:szCs w:val="24"/>
              </w:rPr>
              <w:t xml:space="preserve">- 100% государственного пакета акций ЗАО "Альфа Телеком";</w:t>
            </w:r>
          </w:p>
          <w:p>
            <w:pPr>
              <w:jc w:val="left"/>
            </w:pPr>
            <w:r>
              <w:rPr>
                <w:rFonts w:ascii="Arial" w:cs="Arial" w:eastAsia="Arial" w:hAnsi="Arial"/>
                <w:sz w:val="24"/>
                <w:szCs w:val="24"/>
              </w:rPr>
              <w:t xml:space="preserve">- 98,463% государственного пакета акций ОАО "ТНК Дастан"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Поступление средств от приватизации в рамках реализации Программы приватизации госсобственности в Кыргызской Республике на 2015-2017 годы, утвержденной постановлением Жогорку Кенеша Кыргызской Республики от 29 июня 2015 года № 5408-V</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Сохранить на контролируемом уровне дефицит государственного бюджета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Удержание контролируемого уровня дефицита республиканского бюджета, % к ВВП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антикризисного бюджета на 2016 год, предусматривающий сокращение бюджетных расходов и компенсационные меры по возможным рискам выпадения доходной части бюджета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дефицита бюджета по сравнению с предусмотренным дефицитом бюджета на 2016 год</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Продвигать проект Бюджетного кодекса в Жогорку Кенеше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бюджетного кодекса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29.02.2016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Стратегию развития управления государственными финансами в Кыргызской Республике на 2017-2025 годы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мер по развитию управления государственными финансами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отмене нормативного правового акта, не подкрепленных источниками финансирования из госбюджета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расходов государственного бюджета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Обновить и принять инструктивные и методологические нормативные акты для целей планирования и исполнения бюджета на программной основе разработки секторальных стратегий бюджетных расходов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методологий по использованию бюджетных средств на программной основе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администрирование НДС для сокращения уклонений от уплаты налога с целью расширения налогооблагаемой базы и оптимизации льгот</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налоговых поступлений в государственный бюджет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перечень видов деятельности, осуществляемых на основе добровольного и обязательного патента, в том числе путем постепенного повышения стоимости патентов, а также оптимизации видов патентов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налоговых поступлений в государственный бюджет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нижний предел таможенной стоимости товаров, ввозимых в качестве основных средств, до 500 тыс. сомов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обновления основных средств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и дополнений в Налоговый кодекс Кыргызской Республики в части повышения ставок на отдельные виды имущества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элементов налогообложения на роскошь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установку камер видеонаблюдения и расходомеров на территориях заводов по производству алкогольной продукции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нелегального оборота алкогольной продукции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в Налоговый кодекс Кыргызской Республики" в части обозначение пива маркой акцизного сбора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поступлений акцизного налога от производимого и импортируемого пива (динамика в млн. сомов или в % к предыдущему периоду)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борьбу с лжепредпринимательством, в части использования фиктивных счетов-фактур по налогу на добавленную стоимость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налогоплательщиков (динамика в % или тыс. человек к предыдущему периоду), перешедших на электронный формат представления счетов-фактур по налогу на добавленную стоимость;</w:t>
            </w:r>
          </w:p>
          <w:p>
            <w:pPr>
              <w:jc w:val="left"/>
            </w:pPr>
            <w:r>
              <w:rPr>
                <w:rFonts w:ascii="Arial" w:cs="Arial" w:eastAsia="Arial" w:hAnsi="Arial"/>
                <w:sz w:val="24"/>
                <w:szCs w:val="24"/>
              </w:rPr>
              <w:t xml:space="preserve">увеличение количества выявленных фактов мошенничества (динамика в единицах к предыдущему периоду) при администрировании налога на добавленную стоимость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Сохранить контролируемый уровень внешнего долга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новую среднесрочную Стратегию управления государственным долгом Кыргызской Республики с учетом изменения макроэкономической ситуации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долг к ВВП, %.</w:t>
            </w:r>
          </w:p>
          <w:p>
            <w:pPr>
              <w:jc w:val="left"/>
            </w:pPr>
            <w:r>
              <w:rPr>
                <w:rFonts w:ascii="Arial" w:cs="Arial" w:eastAsia="Arial" w:hAnsi="Arial"/>
                <w:sz w:val="24"/>
                <w:szCs w:val="24"/>
              </w:rPr>
              <w:t xml:space="preserve">Государственный внешний долг Кыргызской Республики к ВВП, %.</w:t>
            </w:r>
          </w:p>
          <w:p>
            <w:pPr>
              <w:jc w:val="left"/>
            </w:pPr>
            <w:r>
              <w:rPr>
                <w:rFonts w:ascii="Arial" w:cs="Arial" w:eastAsia="Arial" w:hAnsi="Arial"/>
                <w:sz w:val="24"/>
                <w:szCs w:val="24"/>
              </w:rPr>
              <w:t xml:space="preserve">Обслуживание государственного внешнего долга Кыргызской Республики к доходам республиканского бюджета, %.</w:t>
            </w:r>
          </w:p>
          <w:p>
            <w:pPr>
              <w:jc w:val="left"/>
            </w:pPr>
            <w:r>
              <w:rPr>
                <w:rFonts w:ascii="Arial" w:cs="Arial" w:eastAsia="Arial" w:hAnsi="Arial"/>
                <w:sz w:val="24"/>
                <w:szCs w:val="24"/>
              </w:rPr>
              <w:t xml:space="preserve">Обслуживание государственного внешнего долга Кыргызской Республики к экспорту товаров и услуг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2.5</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привлекательную для бизнеса среду</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кратность проверок субъектов предпринимательства со стороны государственного санитарно-эпидемиологического надзора и сроки контрольной проверки до 1 дня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проверок</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исчерпывающие лицензионные требования и единые порядки лицензионного контроля, определить порядок формирования и ведения реестров лицензий и разрешений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положений:</w:t>
            </w:r>
          </w:p>
          <w:p>
            <w:pPr>
              <w:jc w:val="left"/>
            </w:pPr>
            <w:r>
              <w:rPr>
                <w:rFonts w:ascii="Arial" w:cs="Arial" w:eastAsia="Arial" w:hAnsi="Arial"/>
                <w:sz w:val="24"/>
                <w:szCs w:val="24"/>
              </w:rPr>
              <w:t xml:space="preserve">- о лицензионном контроле;</w:t>
            </w:r>
          </w:p>
          <w:p>
            <w:pPr>
              <w:jc w:val="left"/>
            </w:pPr>
            <w:r>
              <w:rPr>
                <w:rFonts w:ascii="Arial" w:cs="Arial" w:eastAsia="Arial" w:hAnsi="Arial"/>
                <w:sz w:val="24"/>
                <w:szCs w:val="24"/>
              </w:rPr>
              <w:t xml:space="preserve">- о лицензировании отдельных видов деятельности;</w:t>
            </w:r>
          </w:p>
          <w:p>
            <w:pPr>
              <w:jc w:val="left"/>
            </w:pPr>
            <w:r>
              <w:rPr>
                <w:rFonts w:ascii="Arial" w:cs="Arial" w:eastAsia="Arial" w:hAnsi="Arial"/>
                <w:sz w:val="24"/>
                <w:szCs w:val="24"/>
              </w:rPr>
              <w:t xml:space="preserve">- о порядке формирования и ведения реестров лицензий и разрешений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и четкий алгоритм выдачи электронных лицензий и разрешений в электронном виде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административной коррупции, возникающей при приеме документов для получения разрешений, сокращение затрат на получение лицензий и разрешений, упрощение процедур лицензирования для предпринимателей, ведущих хозяйственную деятельность в регионах страны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пилотный проект выдачи единого формата электронных лицензий и разрешений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Апробирование механизма выдачи электронных лицензий и разрешений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текущей ситуации в экономике и перспектив развития бизнеса в Кыргызской Республике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Сравнение уверенности бизнеса и потребителей: измерение индексов делового доверия (BCI) и потребительской уверенности (CCI)</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план поэтапного внедрения международных стандартов подсчета запасов полезных ископаемых в Кыргызстане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Признание международных стандартов отчетности по запасам месторождений и классификации запасов системы CRIRSCO</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экономическую целесообразность отмены бонуса при получении лицензии на право пользования недрами на геолого-поисковые работы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горных компаний, ведущих геологические поисковые работы и развитие минерально-сырьевой базы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Налоговый кодекс Кыргызской Республики, Закон Кыргызской Республики "О недрах", предусматривающие расчет суммы бонуса при передаче лицензии на право пользования недрами на разработку другому лицу, по фактическому количеству учтенных запасов полезных ископаемых и глубины бурения гидрогеологических скважин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справедливой системы налогообложения недропользователей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ГНС,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Налоговый кодекс Кыргызской Республики, предусматривающие замену добровольного патента на обязательный, для индивидуальной старательской деятельности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дополнительных средств в рамках республиканского бюджета и упорядочение индивидуальной старательской деятельности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правила "первой поданной заявки" взамен "прямых переговоров" при лицензировании объектов, не включенных в конкурсные и аукционные объекты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Минимизация коррупционных рисков при предоставлении прав на пользование недрами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 "единого окна" при проведении экспертиз горных и геологических проектов по экологической, промышленной безопасности и охране недр с сокращением сроков выдачи разрешительной документации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выдачи разрешительной документации и проведения экспертизы технической документации в сфере недропользования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ГАООСЛХ, ГРС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Правила охраны и использования недр при разработке месторождений полезных ископаемых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единых правил по рациональному использованию минеральных ресурсов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формат электронной отчетности недропользователей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видов, порядка подготовки и сдачи отчетности и планов работ в сфере недропользования; утверждение форм отчетности.</w:t>
            </w:r>
          </w:p>
          <w:p>
            <w:pPr>
              <w:jc w:val="left"/>
            </w:pPr>
            <w:r>
              <w:rPr>
                <w:rFonts w:ascii="Arial" w:cs="Arial" w:eastAsia="Arial" w:hAnsi="Arial"/>
                <w:sz w:val="24"/>
                <w:szCs w:val="24"/>
              </w:rPr>
              <w:t xml:space="preserve">Внедрение электронной отчетности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Освободить вновь созданные субъекты предпринимательской деятельности от проверок государственных контролирующих органов на 3 года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административных нагрузок на субъекты предпринимательства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количество государственных контролирующих органов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государственных контролирующих органов (на 1 единицу)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единый государственный орган по согласованию проверок правоохранительных и фискальных органов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необоснованных проверок со стороны правоохранительных и фискальных органов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Генпрокуратура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обратной связи с субъектами предпринимательства, в отношении которых проводились проверки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Появление возможности оценки деятельности государственных контролирующих органов в режиме онлайн на сайте proverka.kg</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Сократить административные процедуры, регулирующие предпринимательскую деятельность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(до 30%) числа административных процедур</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плату за выдачу лицензий (за исключением лицензий, выдаваемых на ограниченные ресурсы)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и повышение доступности лицензий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положения нормативных правовых актов, создающие необоснованные, искусственные преграды и устанавливающие излишние требования для бизнеса с применением принципа "Гильотины"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либо отмена 100 действующих НПА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направленные на упрощение процедуры регистрации иностранных инвесторов в регионах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возможности регистрации юридических лиц с иностранным участием на местах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четкие критерии трансформации земель для производственных площадей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для развития промышленного производства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ГРС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Выработать инструменты для обеспечения использования единой электронной цифровой подписи (ЭЦП) для субъектов предпринимательской деятельности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сдачи отчетности, увеличение доли электронных отчетов к общему объему отчетов, %</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ЦЭУ, Соцфонд, ГНС, 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критерии рисков для рейдового налогового контроля</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Упорядочение рейдовых налоговых проверок</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Упорядочить предоставление налоговых льгот</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учета налоговых преференций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Упорядочить предоставление неналоговых льгот</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учета неналоговых преференций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субъектам, осуществляющим реэкспорт товаров из третьих стран на территорию государств-участников ЕАЭС, право на освобождение (условное начисление) НДС по импортируемым товарам, при условии подтверждения факта вывоза (экспорта) таких товаров (банковская гарантия, залог, депозит и т.д.)</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Высвобождение дополнительных оборотных и инвестиционных средств субъектов ВЭД</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Интегрировать информационные системы налоговой службы, таможенной службы и Социального фонда с целью обмена данными и сокращения количества предоставляемых бизнесом отчетов и справок</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административных процедур для предпринимателей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 ГТС, Соцфонд</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введению единого социального налога по опыту других стран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с предложениями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Социального фонда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Отменить налог с продаж для субъектов предпринимательства, осуществляющих безналичные расчеты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налогового бремени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механизмам дифференцированных ставок социальных отчислений, налога на прибыль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налоговой нагрузки и социальных отчислений для бизнеса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новую систему финансирования под залог складских расписок</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производителей продукции сельского хозяйства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страховую компанию для страхования залогового обеспечения и предоставления гарантий для экспортоориентированных предприятий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доступа к финансированию экспортоориентированных компаний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развития гарантийных фондов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основы для развития гарантийных фондов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сбор авторского вознаграждения с пользователей объектов авторского права и смежных прав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объема сбора авторского вознаграждения на 3% от фактического значения за 2015 год</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Государственной программы развития интеллектуальной собственности в Кыргызской Республике на 2017-2022 годы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Государственной программы развития интеллектуальной собственности в Кыргызской Республике на 2017-2022 годы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Субсидировать расходы коммерческих банков и специализированных финансово-кредитных учреждений за размещение кредитов по льготным процентным ставкам по программе "Финансирование сельского хозяйства - 4" в 2016 году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производства сельскохозяйственной продукции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предоставления льготных кредитов для обновления основных фондов, модернизации и технологического переоснащения оборудования для экспортоориентированных предприятий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конкурентоспособного экспортоориентированного производства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РКФР (по согласованию), МФ,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2.5.39(*)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процедуры и сократить сроки подключения объектов к инженерным сетям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условий ведения предпринимательской деятельности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МЭ, энергокомпании, ОМСУ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освобождению от налогообложения операций по увеличению уставного капитала акционерного общества за счет средств нераспределенной прибыли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четкой, транспарантной и предсказуемой нормативной правовой базы по налогообложению. Улучшение инвестиционного климата, увеличение капитала банков с иностранным участием</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метод представления налоговой отчетности по принципу "единого окна"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процедуры сдачи налоговой отчетности в регионах, снижение коррупционных рисков (вымогательство, взятка)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УКРЕПЛЕНИЕ НАЦИОНАЛЬНОЙ ВАЛЮТЫ И ДЕДОЛЛАРИЗАЦИЯ ЭКОНОМИКИ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Совершенствование законодательства в части укрепления национальной валюты</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и классификацию типа долларизации, характерного для кыргызской экономики: замещение платежного средства, финансовая долларизация или долларизация меры стоимости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записка, содержащая типологию долларизации в Кыргызской Республике и рекомендации о введении соответствующих мер по дедолларизации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НБ (по согласованию), МЭ,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 и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нормативных правовых актов с целью выявления норм и требований, препятствующих применению национальной валюты (сом) в качестве единственного платежного средства на территории Кыргызской Республики, за исключением операций, связанных с импортом и экспортом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проектов НПА о внесении изменений/дополнений/отмене норм и требований, ограничивающих функции национальной валюты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ГНС, МФ, ГТС, ГААР, ГРС, МЮ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изменению законодательства в части установления ответственности физических и юридических лиц, независимо от форм собственности за невыполнение требований обязательного применения национальной валюты в операциях между покупателями и продавцами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Применение национальной валюты (сом) в качестве единственного платежного средства на территории Кыргызской Республики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ГААР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проекты нормативных правовых актов, предусматривающие установление ограничений и ответственности за указание стоимости в иностранной валюте при рекламе товаров, работ и услуг на внутреннем рынке (включая внесение изменений в Закон Кыргызской Республики "О рекламе")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по исключению установления цен в сфере торговли и услуг в иностранной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 МКИТ, МЮ, НБ (по согласованию), ГНС, ГРС, ОМСУ</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Обеспечение стабильности цен на товары в услуги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регулярный мониторинг уровня оптовых и розничных цен на социально значимые товары и услуги, конъюнктуры мировых и внутренних рынков продовольственных товаров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Сдерживание значительного роста цен на социально значимые товары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ГААР, НСК (по согласованию), МЭ, НБ (по согласованию), МСХМ, ПП ПКР в областях, мэрии городов Бишкек и Ош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мониторинг указания цен на товары и услуги, актов купли-продажи и предоставления услуг в национальной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Повсеместное применение национальной валюты</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правоохранительные органы, ПППКР в областях, мэрии городов Бишкек и Ош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товарных запасов продуктов питания и ГСМ (продовольственная пшеница, мясо, масло, сахар и др.) и, при необходимости, проводить товарные интервенции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системы раннего предупреждения рисков повышения цен и своевременное принятие мер</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ФГМР, МФ,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реестр юридических лиц, занимающихся импортно-экспортными операциями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базы данных для анализа и применения мер поддержки по развитию экспорта и импортозамещения</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ЦЕО, МЭ, ГТС,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над нелегальным ввозом товаров и повысить уровень администрирования доходов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нелегального ввоза товаров, обеспечение доходной части бюджета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ГТС, ГСБЭП</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широкую пиар-кампанию "Сделано в Кыргызстане" в средствах массовой информации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формированию общественного мнения о приоритетном приобретении товаров отечественного производства в торговых сетях, крупных магазинах и торговых точках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МКИТ, Ассоциация рынков и предприятий торговли (по согласованию),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Укрепление функции сома как меры стоимости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механизм стимулирования сбережений населения в национальной валюте по сравнению с долларовыми сбережениями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денежных средств на депозитах в национальной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Собственный бюджет</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кампании по формированию у населения доверия к национальной валюте, как единственному средству платежа, а к иностранной валюте - не более чем как к резервной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доверия населения к национальной валюте Кыргызской Республики и снижение спроса на доллары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МЭ, МКИТ, МСХМ, ГНС, ГРС, ОМСУ (по согласованию), ПП ПКР в областях, мэрии городов Бишкек и Ош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"круглые столы" с участием бизнес-ассоциаций и предприятий, занимающихся экспортными и/или импортными операциями, по вопросу о переходе на расчеты в национальной валюте и/или валюте стран-контрагентов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спроса на доллары США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Инициировать процесс проведения переговоров и заключение соглашений со странами-партнерами об осуществлении расчетов в национальных валютах при импортно-экспортных операциях</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спроса на доллары США.</w:t>
            </w:r>
          </w:p>
          <w:p>
            <w:pPr>
              <w:jc w:val="left"/>
            </w:pPr>
            <w:r>
              <w:rPr>
                <w:rFonts w:ascii="Arial" w:cs="Arial" w:eastAsia="Arial" w:hAnsi="Arial"/>
                <w:sz w:val="24"/>
                <w:szCs w:val="24"/>
              </w:rPr>
              <w:t xml:space="preserve">Проведение не менее 3-х переговоров, заключение больше 1 контракта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Приоритетное обеспечение банковской системы сомовой ликвидностью</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некоторые нормативные правовые акты по ограничению предоставления займов банками в иностранной валюте заемщикам, не имеющим валютной выручки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стабильности банковского сектора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некоторые нормативные правовые акты в части установления запрета для банков и других финансово-кредитных учреждений на выдачу ипотечных и потребительских кредитов в иностранной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стабильности банковского сектора, минимизация валютного риска, уменьшение уровня долларизации экономики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меры по обеспечению оплаты в безналичной форме сделок по купле-продаже недвижимого и движимого имущества в национальной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платежей в безналичной форме и повышение прозрачности осуществляемых сделок, для последующего налогового контроля и пополнения государственного бюджета.</w:t>
            </w:r>
          </w:p>
          <w:p>
            <w:pPr>
              <w:jc w:val="left"/>
            </w:pPr>
            <w:r>
              <w:rPr>
                <w:rFonts w:ascii="Arial" w:cs="Arial" w:eastAsia="Arial" w:hAnsi="Arial"/>
                <w:sz w:val="24"/>
                <w:szCs w:val="24"/>
              </w:rPr>
              <w:t xml:space="preserve">Поэтапное снижение объема сделок по купле-продаже недвижимого и движимого имущества в иностранной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НБ (по согласованию),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Регулировать ликвидность через инструменты денежно-кредитной политики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оптимального объема денежной массы в экономике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согласованную денежно-кредитную и налогово-бюджетную политику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оптимального объема денежной массы в экономике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бюджета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закупку физического монетарного золота на внутреннем рынке Кыргызстана в национальной валюте в целях пополнения международных резервов Национального банка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Ежегодное приобретение необходимого объема отечественного золота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ОАО "Кыргызалтын"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бюджета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3.5</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Минимизация риска спекулятивных операций на внутреннем валютном рынке</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созданию механизма трансформации ипотечных кредитов бюджетных работников и социально уязвимых слоев населения, полученных в иностранной валюте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механизму трансформации в национальную валюту кредитов, выданных в иностранной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МФ, МЭ, коммерческие банки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НБ и комбанков, 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работу по проведению постоянных совместных рейдов по обменным бюро и ужесточению наказания за безлицензионную деятельность</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в деятельности обменных бюро</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ГНС, ГСБЭП</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собственного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Освещать в средствах массовой информации деятельность по обеспечению стабильной ситуации на валютном рынке и снижению уровня долларизации (организация регулярных теле- и радиопередач, пресс-конференций)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теле- и радиопередач, пресс-конференций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 МСХМ, ГНС, ГТС,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внесении изменений в Кодекс Кыргызской Республики об административной ответственности, с целью повышения штрафов за осуществление валютных операций без лицензий</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штрафов за осуществление валютных операций без лицензий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НБ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о борьбе с отмыванием доходов и противодействии финансированию террористической или экстремистской деятельности, с учетом рекомендаций МВФ и других доноров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Приведение законодательства по противодействию легализации (отмыванию) преступных доходов и финансированию террористической или экстремистской деятельности в соответствие с международными стандартами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ГСФР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Государственной программы повышения финансовой грамотности населения Кыргызской Республики на 2016-2020 годы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населения, в том числе кыргызских граждан - заемщиков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бюджета НБ, 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методики определения себестоимости продукции (работ, услуг) и формирования тарифов на электроэнергию</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экономически обоснованной методики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методики определения себестоимости продукции (работ, услуг) и формирования тарифов на тепловую энергию</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экономически обоснованной методики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методики определения себестоимости продукции (работ, услуг) и формирования тарифов на газ</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экономически обоснованной методики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предусматривающий включение в Гражданский кодекс Кыргызской Республики нормы об установлении пороговой суммы, свыше которой платежи и расчеты между юридическими и физическими лицами должны осуществляться в безналичной форме</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для увеличения доли безналичных платежей и сокращения объемов неофициальной экономики при осуществлении расчетов между юридическими и физическими лицами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внедрение механизма применения контрольно-кассовых машин с функцией передачи данных в режиме онлайн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прозрачности движения финансовых потоков, усиление контроля за движением денежных средств, уменьшение теневого оборота наличных средств и увеличение дополнительных поступлений в бюджет</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ВЫСОКИЙ УРОВЕНЬ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безопасность и сохранность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законодательство Кыргызской Республики о рынке ценных бумаг, в части введения временного управления для повышения уровня защиты прав участников рынка капиталов от возможных негативных последствий от деятельности профессиональных участников рынка ценных бумаг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числа нарушений законодательства Кыргызской Республики профессиональными участниками рынка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Использовать механизм страхования в рамках МИГА крупных иностранных инвестиций в приоритетные отрасли экономики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крупных иностранных инвестиций в приоритетные отрасли экономики; объем застрахованных инвестиций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МЭ, 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Придать особый стратегический статус прибрежной зоне озера Иссык-Куль, с делегированием полномочий по принятию решений Правительству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благоприятных условий для инвестирования в туристическую зону озера Иссык-Куль</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Внедрить новые механизмы стимулирования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приоритеты инвестиционной политики в области привлечения прямых инвестиций в развитие экономики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Среднесрочной программы привлечения прямых инвестиций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законодательную основу для организации индустриальных парков с предоставлением специальных условий для инвесторов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проекта Закона Кыргызской Республики "Об индустриальных парках"</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систему обратной связи с инвесторами ("Красная кнопка для инвестора") в режиме онлайн</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в рассмотрении обращений и жалоб инвесторов, урегулирование споров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30.06.15</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АПИ, министерства и ведомства, ОМСУ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и местных бюджетов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размер гарантийной суммы для депозитов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Доведение размера гарантийной суммы до 200 тыс. сомов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АЗД (по согласованию),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фонда защиты депозитов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Вывести государственные ценные бумаги на фондовую биржу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сделок физических лиц с ГЦБ на фондовой бирже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Госфиннадзор,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проекты НПА, предусматривающие выпуск и обращение облигаций с залоговым обеспечением</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финансовых инструментов на рынке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государственную лотерейную компанию и запустить лотереи в поддержку развития спорта и культуры</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внутренних инвестиций</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 ГАМФКС, МКИТ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формирования государственного паевого инвестиционного фонда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функционирования государственного паевого инвестиционного фонда</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ФУГИ, МЭ,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выпуск валютных государственных ценных бумаг (казначейских векселей) и их обращение через фондовую биржу</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государственных ценных бумаг в валюте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ЗАО "КФБ" (по согласованию), ЗАО "ЦД" (по согласованию), НБ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законодательную базу для выпуска ипотечных ценных бумаг</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рынок ипотечных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законодательную базу, регулирующую выпуск и обращение производных ценных бумаг (фьючерсов)</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Регулирование выпуска и обращения производных ценных бумаг</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процедуру международной координации (согласования) с приграничными государствами и регистрации в международном справочном регистре частот Международного союза электросвязи не менее 50 частотных присвоений на право эксплуатации цифровых телевизионных передатчиков на территории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Закрепление за Кыргызской Республикой 50 частот в международном справочном регистре частот Международного союза электросвязи.</w:t>
            </w:r>
          </w:p>
          <w:p>
            <w:pPr>
              <w:jc w:val="left"/>
            </w:pPr>
            <w:r>
              <w:rPr>
                <w:rFonts w:ascii="Arial" w:cs="Arial" w:eastAsia="Arial" w:hAnsi="Arial"/>
                <w:sz w:val="24"/>
                <w:szCs w:val="24"/>
              </w:rPr>
              <w:t xml:space="preserve">Обеспечение своевременного перехода на цифровое телевизионное вещание в Кыргызской Республике</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ГАС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Телефонизировать 40 населенных пунктов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связью 40 населенных пунктов, не имеющих доступа к услугам сотовой связи.</w:t>
            </w:r>
          </w:p>
          <w:p>
            <w:pPr>
              <w:jc w:val="left"/>
            </w:pPr>
            <w:r>
              <w:rPr>
                <w:rFonts w:ascii="Arial" w:cs="Arial" w:eastAsia="Arial" w:hAnsi="Arial"/>
                <w:sz w:val="24"/>
                <w:szCs w:val="24"/>
              </w:rPr>
              <w:t xml:space="preserve">Сокращение количества нетелефонизированных населенных пунктов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 операторы связи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операторов связи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план-график развития сетей 4G операторов связи Кыргызской Республики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территории охвата услугами связи 4G.</w:t>
            </w:r>
          </w:p>
          <w:p>
            <w:pPr>
              <w:jc w:val="left"/>
            </w:pPr>
            <w:r>
              <w:rPr>
                <w:rFonts w:ascii="Arial" w:cs="Arial" w:eastAsia="Arial" w:hAnsi="Arial"/>
                <w:sz w:val="24"/>
                <w:szCs w:val="24"/>
              </w:rPr>
              <w:t xml:space="preserve">Внедрение услуги связи 4G в городах Бишкек и Ош согласно графику</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операторов связи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сеть филиалов Центра поддержки технологий и инноваций (ЦПТИ)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не менее 3 филиалов ЦПТИ для стимулирования изобретательской деятельности, обеспечения доступа изобретателей, научных сотрудников и молодых ученых к источникам научно-технической информации</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на лучший инновационный проект - 2016</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Отбор и оценка наиболее перспективных инновационных проектов; содействие продвижению наиболее перспективных инновационных проектов</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Содействовать реализации 3-х инновационных проектов по итогам конкурса на лучший инновационный проект - 2015</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созданию опытных образцов и поиску инвестиционной поддержки для их внедрения в производство</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заинтересованные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средств Кыргызпатента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Реализовать механизм государственно-частного партнерства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Программы развития ГЧП до 2020 года</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направлений и механизмов развития ГЧП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проекты ГЧП в сфере здравоохранения: "Установка компьютерных томографов в учреждениях здравоохранения" и "Организация гемодиализных отделений и централизованной лаборатории"</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закупки консультационных и транзакционных услуг, разработка ТЭО проекта ГЧП</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Фонд финансирования подготовки проектов ГЧП, средства Немецкого банка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конкурсы по выбору инвестора для строительства не менее 2-х малых ГЭС</w:t>
            </w:r>
          </w:p>
        </w:tc>
        <w:tc>
          <w:tcPr>
            <w:tcW w:type="dxa" w:w="223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инвестора и начало строительства ГЭС</w:t>
            </w:r>
          </w:p>
        </w:tc>
        <w:tc>
          <w:tcPr>
            <w:tcW w:type="dxa" w:w="124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4.4</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высокий уровень государственных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строительные работа на участке км 75-105 автодороги Тараз - Талас - Суусамыр</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10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 Саудовский фонд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строительство альтернативной дороги Север-Юг, Фаза I, км 183-195 (с.Кызыл-Жылдыз - с.Арал), км 291-433 (с.Казарман - г.Джалал-Абад)</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30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реабилитацию 10 км из 96 км альтернативной дороги Север-Юг, Фаза </w:t>
            </w:r>
            <w:r>
              <w:rPr>
                <w:rFonts w:ascii="Arial" w:cs="Arial" w:eastAsia="Arial" w:hAnsi="Arial"/>
                <w:sz w:val="24"/>
                <w:szCs w:val="24"/>
              </w:rPr>
              <w:t xml:space="preserve">II</w:t>
            </w:r>
            <w:r>
              <w:rPr>
                <w:rFonts w:ascii="Arial" w:cs="Arial" w:eastAsia="Arial" w:hAnsi="Arial"/>
                <w:sz w:val="24"/>
                <w:szCs w:val="24"/>
              </w:rPr>
              <w:t xml:space="preserve">, км 195-291 (с.Арал - с.Казарман)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10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подготовку ТЭО и детального проекта на участках: Балыкчы - Кызыл-Жылдыз км 0-43, км 64-159</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Одобрение и ратификация Соглашения с АБР о финансировании участка.</w:t>
            </w:r>
          </w:p>
          <w:p>
            <w:pPr>
              <w:jc w:val="left"/>
            </w:pPr>
            <w:r>
              <w:rPr>
                <w:rFonts w:ascii="Arial" w:cs="Arial" w:eastAsia="Arial" w:hAnsi="Arial"/>
                <w:sz w:val="24"/>
                <w:szCs w:val="24"/>
              </w:rPr>
              <w:t xml:space="preserve">Подготовка тендерного документа для отбора консультанта и подрядчика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1-ю фазу реабилитации "Иссык-Кульского транспортного кольца" с 43 по 104 км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61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МФ</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строительные работы на участке км 272-365 автодороги Бишкек - Нарын - Торугарт</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49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реабилитацию участков автодороги Ош - Баткен - Исфана - участки: км 220-232, км 248-360</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37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Эксим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процедуру ратификации Соглашения о финансировании реабилитации участка км 28-75 км автодороги Ош - Баткен - Исфана.</w:t>
            </w:r>
          </w:p>
          <w:p>
            <w:pPr>
              <w:jc w:val="left"/>
            </w:pPr>
            <w:r>
              <w:rPr>
                <w:rFonts w:ascii="Arial" w:cs="Arial" w:eastAsia="Arial" w:hAnsi="Arial"/>
                <w:sz w:val="24"/>
                <w:szCs w:val="24"/>
              </w:rPr>
              <w:t xml:space="preserve">Завершить отбор консультанта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процедуры ратификации Соглашения о финансировании данного участка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JICA</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реабилитацию 10 км из 51,89 км участков автодороги Баткен - Исфана - Сулюкта - КПП Кайрагач - Маданият, Баткен - Торткуль, Баткен - КПП Кызыл-Бель - Гулистон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Реабилитация 10 км автодороги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ВБ</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тендер по отбору подрядчика по проекту реабилитации автодороги Бишкек-Ош, Фаза 4, участок Бишкек-Кара-Балта и начать строительные работы на данном участке</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тендерных процедур, обеспечение начала работ на участке</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тендер по отбору консультанта и подрядчика по проекту реабилитации автодороги Бишкек-Ош, Фаза 4, участок Маданият-Джалал-Абад, и приступить к мобилизации проекта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тендерных процедур, обеспечение начала работ</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Произвести капитальный ремонт не менее 130 км автодорог с укладкой асфальтобетонного покрытия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асфальтобетонного покрытия - 130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Восстановить слой износа автодорог путем устройства шероховатой поверхностной обработки на протяжении 190 км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Шероховатая поверхностная обработка - 190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черного гравийного покрытия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Черное гравийное покрытие - 30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Устройство гравийного покрытия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Гравийное покрытие - 120 км</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4-х мостов</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Завершение строительства 4-х мостов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4.4.17</w:t>
            </w:r>
          </w:p>
        </w:tc>
        <w:tc>
          <w:tcPr>
            <w:tcW w:type="dxa" w:w="125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Модернизировать аэронавигационное оборудование ГП "Кыргызаэронавигация"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доплеровских азимутально-дальномерных радиомаяков DVOR/DME в аэропортах "Ош" и "Иссык-Куль"</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"Кыргызаэронавигация"</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 JICA и заемные финансовые средства, собственные средства ГП "Кыргызаэронавигация"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Частичная замена оборудования метеобеспечения</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"Кыргызаэронавигация"</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Заемные финансовые средства и собственные средства ГП "Кыргызаэронавигация"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второй этап реконструкции искусственной взлетно-посадочной полосы в Международном аэропорту "Ош"</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существующего искусственного покрытия, РД-С-16949 м</w:t>
            </w:r>
            <w:r>
              <w:rPr>
                <w:rFonts w:ascii="Arial" w:cs="Arial" w:eastAsia="Arial" w:hAnsi="Arial"/>
                <w:sz w:val="24"/>
                <w:szCs w:val="24"/>
              </w:rPr>
              <w:t xml:space="preserve">2</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ОАО "МАМ"</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единую волоконно-оптическую линию связи (ВОЛС), объединяющую 68 государственных органов для межведомственного электронного взаимодействия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Объединение 68 госорганов в ВОЛС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ЦЭУ, ОАО "Кыргызтелеком" (по согласованию), ГП "Правительственная связь" (по согласованию), ГУ "Транском"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средства распределяемые в рамках вступления КР в ЕАЭС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для реализации проекта строительства Камбаратинской ГЭС-1</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Начало реализации проекта Камбаратинской ГЭС-1</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привлеченных средств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Заключить Соглашение о финансировании проекта по вводу в эксплуатацию 2-го гидроагрегата Камбаратинской ГЭС-2</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пуска 2 гидроагрегата Камбаратинской ГЭС-2</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Евразийский банк развития (ЕАБР)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инвестиции для реализации проекта строительства Верхне-Нарынского каскада ГЭС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выработки электрической энергии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привлеченных средств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конкурс на строительство Кара-Кечинской тепловой электростанции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инвесторов на строительство ТЭС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АПИ,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привлеченных средств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внутригосударственные процедуры по проекту "Реабилитация Токтогульской ГЭС Фаза 2".</w:t>
            </w:r>
          </w:p>
          <w:p>
            <w:pPr>
              <w:jc w:val="left"/>
            </w:pPr>
            <w:r>
              <w:rPr>
                <w:rFonts w:ascii="Arial" w:cs="Arial" w:eastAsia="Arial" w:hAnsi="Arial"/>
                <w:sz w:val="24"/>
                <w:szCs w:val="24"/>
              </w:rPr>
              <w:t xml:space="preserve">Объявить и провести тендер по выбору генерального подрядчика по реализации проекта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надежности работы энергооборудования и увеличение генерирующей мощности ГЭС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АБР, ЕАБР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реализацию проекта "Модернизация ТЭЦ г.Бишкек"</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Строительство главного корпуса турбинного цеха.</w:t>
            </w:r>
          </w:p>
          <w:p>
            <w:pPr>
              <w:jc w:val="left"/>
            </w:pPr>
            <w:r>
              <w:rPr>
                <w:rFonts w:ascii="Arial" w:cs="Arial" w:eastAsia="Arial" w:hAnsi="Arial"/>
                <w:sz w:val="24"/>
                <w:szCs w:val="24"/>
              </w:rPr>
              <w:t xml:space="preserve">2. Монтаж конструкций котла.</w:t>
            </w:r>
          </w:p>
          <w:p>
            <w:pPr>
              <w:jc w:val="left"/>
            </w:pPr>
            <w:r>
              <w:rPr>
                <w:rFonts w:ascii="Arial" w:cs="Arial" w:eastAsia="Arial" w:hAnsi="Arial"/>
                <w:sz w:val="24"/>
                <w:szCs w:val="24"/>
              </w:rPr>
              <w:t xml:space="preserve">3. Установка системы топливоподачи для новых блоков.</w:t>
            </w:r>
          </w:p>
          <w:p>
            <w:pPr>
              <w:jc w:val="left"/>
            </w:pPr>
            <w:r>
              <w:rPr>
                <w:rFonts w:ascii="Arial" w:cs="Arial" w:eastAsia="Arial" w:hAnsi="Arial"/>
                <w:sz w:val="24"/>
                <w:szCs w:val="24"/>
              </w:rPr>
              <w:t xml:space="preserve">4. Строительство системы золошлакоудаления.</w:t>
            </w:r>
          </w:p>
          <w:p>
            <w:pPr>
              <w:jc w:val="left"/>
            </w:pPr>
            <w:r>
              <w:rPr>
                <w:rFonts w:ascii="Arial" w:cs="Arial" w:eastAsia="Arial" w:hAnsi="Arial"/>
                <w:sz w:val="24"/>
                <w:szCs w:val="24"/>
              </w:rPr>
              <w:t xml:space="preserve">5. Строительство ОРУ 110 кВ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Экспортно-импортный банк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внутригосударственные процедуры по проекту "Улучшение электроснабжения Аркинского массива Баткенской области" и провести конкурс на определение генерального подрядчика по строительству ПС 110 кВ и ЛЭП 110 кВ</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электроснабжения</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"НЭСК"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Исламский банк развития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внутригосударственные процедуры по ратификации Соглашения по проекту передачи электроэнергии "CASA-1000".</w:t>
            </w:r>
          </w:p>
          <w:p>
            <w:pPr>
              <w:jc w:val="left"/>
            </w:pPr>
            <w:r>
              <w:rPr>
                <w:rFonts w:ascii="Arial" w:cs="Arial" w:eastAsia="Arial" w:hAnsi="Arial"/>
                <w:sz w:val="24"/>
                <w:szCs w:val="24"/>
              </w:rPr>
              <w:t xml:space="preserve">Начало реализации проекта "CASA-1000"</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экспорта электроэнергии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 ОАО "НЭСК"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ассоциация развития (МАР), Европейский инвестиционный банк (ЕИБ), Исламский банк развития (ИБР), Правительство США (Трастовый фонд)</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оперативной локализации аварии на Токтогульской ГЭС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Запуск на полную мощность</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ОАО "Электрические станции"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4.4.29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контроль за проведение своевременной и качественной диагностики технологического оборудования энергокомпаний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аварий</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энергокомпаний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4.4.30(*)</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импорта электроэнергии из других стран в целях сохранения уровня воды в Токтогульском водохранилище</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 соответствующего соглашения и бесперебойное обеспечение электроэнергией населения</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энергокомпании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Положение о проведении конкурсов на строительство малых ГЭС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 для развития малой гидроэнергетики</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ГАРТЭК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базовый проект по проекту строительства газопровода "Кыргызстан-Китай"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поступлений природного газа на территорию КР</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Правительство КНР</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линейной части газопровода "Кыргызстан-Китай"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транзитного потенциала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 счет иностранных инвестиций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4.4.34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реализацию актуализированной Поэтапной программы геологического изучения недр на лицензионных нефтегазоперспективных участках Кугарт и Восточное Майлису IV</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в полном объеме природным газом потребителей</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ПАО "Газпром" (по согласованию), ОсОО "Газпром Кыргызстан"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"Газпром"</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внедрения политики «Открытого неба» с пятой и шестой степенью свободы воздуха в одностороннем порядке для определенных стран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авиаперевозчиков и пассажиропотока </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Привлечь крупного грузового (карго) авиаперевозчика в Международный аэропорт «Манас»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транзитных грузоперевозок </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ОАО «МАМ»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современные мировые стандарты обслуживания пассажиров в Международном аэропорту «Манас», в первую очередь, со стороны государственных органов пограничного и таможенного контроля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предоставляемых услуг</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 ГПС, МТК, ОАО «МАМ»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Автоматизировать весогабаритный контроль на постах «Сосновка» и «Кемин» Чуйской области </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обеспечения сохранности и увеличения срока службы автомобильных дорог, а также осуществления контроля за соблюдением правил перевозки крупногабаритных грузов</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4.4.39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использованию существующих транспортных коридоров для выхода на морские порты Исламской Республики Иран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Доступ к портовой инфраструктуре, выделение земельного участка в долгосрочную аренду </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МЭ, МИД, АПИ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68"/>
            <w:gridSpan w:val="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w:t>
            </w:r>
          </w:p>
        </w:tc>
        <w:tc>
          <w:tcPr>
            <w:tcW w:type="dxa" w:w="9234"/>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УВЕЛИЧИТЬ ЭКСПОРТ И ПОДДЕРЖАТЬ ИМПОРТОЗАМЕЩЕНИЕ</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5.1</w:t>
            </w:r>
          </w:p>
        </w:tc>
        <w:tc>
          <w:tcPr>
            <w:tcW w:type="dxa" w:w="9234"/>
            <w:gridSpan w:val="1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Расширить экспортные возможности страны в рамках ЕАЭС</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 ратификации Протокола о внесении изменений в Марракешское соглашение об учреждении Всемирной торговой организации от 27 ноября 2014 года"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процедур торговли</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плана либерализации по секторам (подсекторам) услуг, по которым осуществляется формирование единого рынка услуг в рамках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плана либерализации Высшим Евразийским экономическим советом</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Коллегии ЕАЭС проект Соглашения об аудиторской деятельности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единого рынка аудиторских услуг в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ЕЭК</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Расширить перечень изъятий по ЕТТ для Кыргызской Республики по приоритетным секторам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конкурентоспособности отечественных предпринимателей на рынке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обеспечению признания эквивалентности системы ветеринарного контроля республики системам стран-членов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системы ветеринарного контроля системам стран-членов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снятие ветеринарного контроля на кыргызско-казахстанском участке границы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Снятие ограничений на кыргызско-казахстанском участке границы</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Call-center по вопросам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Упрощение доступа к информации по вопросам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01.04.2016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донорских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условия для выхода строительных компаний на рынок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поиску и выход отечественных компаний на новые рынки</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АПИ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5.1.9(*)</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и практические мероприятия по вопросам участия кыргызских предпринимателей в тендерах по государственным закупкам в странах-членах ЕАЭС</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Продвижение кыргызских товаров и услуг в странах-членах ЕАЭС</w:t>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20.06.2016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ГП "ЦЕО"</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Внедрить инструменты стимулирования экспорта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Программы развития текстильного и швейного производства Кыргызской Республики на 2016-2018 годы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Выпуск продукции текстильного и швейного производства ежегодно до 10 млрд. сомов, с увеличением ее доли в общем объеме промышленности до 7%</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проект "Технополис для текстильно-швейного производства"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промышленную зону текстильно-швейного производства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проект Мастер-плана по усилению контроля качества и безопасности молока и молочных продуктов в Кыргызской Республике</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контроля качества и безопасности молока и молочных продуктов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МСХМ, МЗ</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JICA</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возмещение сумм превышения НДС по экспортным поставкам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Выплата задолженности по возмещению НДС</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ГНС, МЭ</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и дополнения в План Правительства Кыргызской Республики по развитию экспорта на 2015-2017 годы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Актуализация мер поддержки и развития экспорта</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ТПП (по согласованию), соответствующие министерства и ведомства</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5.2.6(*)</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"зеленого коридора" для упрощения прохождения сельскохозяйственной продукции из/в Кыргызской Республики и в/из КНР</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времени на проведение процедур прохождения таможенного контроля сельхозпродукции через границу до 30 минут</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5.2.7</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Упростить процедуры таможенных операций для добросовестных участников ВЭД путем внедрения программного обеспечения системы управления рисками и определения критериев оценки добросовестных участников ВЭД</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добросовестных участников ВЭД путем предоставления возможности проведения таможенных операций за 1 рабочий день, следующий за днем регистрации ТД</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5.2.8</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Актуализировать перечень товаров (оборудования) ввозимых в качестве основных средств (в части детализации кодов ТНВЭД до 10 знаков)</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пункт 2 статьи 259 Налогового кодекса КР, в части детализации кодов ТНВЭД до 10 знаков</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3251"/>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УКРЕПИТЬ ФИНАНСОВУЮ СИСТЕМУ</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Расширить участие банковской системы и ее проникновение</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проникновения банковских и платежных услуг в регионы Кыргызской Республики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банкоматов и POS-терминалов в регионах Кыргызской Республики</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ОЮЛ "Союз банков Кыргызстана" и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коммерческих банков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дальнейший рост показателей уровня финансового посредничества банковского сектора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Активы банковской системы к ВВП.</w:t>
            </w:r>
          </w:p>
          <w:p>
            <w:pPr>
              <w:jc w:val="left"/>
            </w:pPr>
            <w:r>
              <w:rPr>
                <w:rFonts w:ascii="Arial" w:cs="Arial" w:eastAsia="Arial" w:hAnsi="Arial"/>
                <w:sz w:val="24"/>
                <w:szCs w:val="24"/>
              </w:rPr>
              <w:t xml:space="preserve">2. Кредиты банковской системы к ВВП.</w:t>
            </w:r>
          </w:p>
          <w:p>
            <w:pPr>
              <w:jc w:val="left"/>
            </w:pPr>
            <w:r>
              <w:rPr>
                <w:rFonts w:ascii="Arial" w:cs="Arial" w:eastAsia="Arial" w:hAnsi="Arial"/>
                <w:sz w:val="24"/>
                <w:szCs w:val="24"/>
              </w:rPr>
              <w:t xml:space="preserve">3. Депозиты банковской системы, к ВВП</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коммерческие банки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НБ и коммерческих банков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коммерческие банки в получении международных рейтингов (S&amp;P, Moody's, Fitch)</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международных рейтингов</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НБ (по согласованию), МЭ, НИСИ</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Бюджеты НБ и коммерческих банков</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Оживить фондовый рынок</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пилотный выпуск в свободное обращение 5-10 процентов акций ("голубых фишек") компаний со значительной государственной долей в капитале, через фондовую биржу</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повышению инвестиционного потенциала компаний с государственной долей участия для привлечения инвестиций через фондовый рынок, а также участию населения в инвестировании</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МЭ, 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на рассмотрение Коллегии ЕАЭС проект Соглашения о взаимном допуске (аккредитации) брокеров и дилеров государств-членов ЕАЭС на национальные фондовые биржи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допуска брокеров и дилеров на фондовые рынки стран-членов ЕАЭС</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законодательство о рынке ценных бумаг, предусматривающие регулирование выпуска и обращения исламских ценных бумаг (сукук)</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круга финансовых инструментов на фондовом рынке, создание условий для внедрения на рынке исламских ценных бумаг (сукук)</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6.3</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стабильность микрофинансового сектора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механизмы микрокредитования трудоспособных малообеспеченных граждан</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Микрокредитование малообеспеченных граждан</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1.06.2016</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ОАО "Айыл банк" (по согласованию), ОАО "РСК банк" (по согласованию), МФО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защиту прав потребителей услуг финансово-кредитных учреждений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Своевременное реагирование на обращения потребителей финансовых услуг и устранение нарушений прав потребителей;</w:t>
            </w:r>
          </w:p>
          <w:p>
            <w:pPr>
              <w:jc w:val="left"/>
            </w:pPr>
            <w:r>
              <w:rPr>
                <w:rFonts w:ascii="Arial" w:cs="Arial" w:eastAsia="Arial" w:hAnsi="Arial"/>
                <w:sz w:val="24"/>
                <w:szCs w:val="24"/>
              </w:rPr>
              <w:t xml:space="preserve">совершенствование нормативной правовой базы по защите прав потребителей финансовых услуг.</w:t>
            </w:r>
          </w:p>
          <w:p>
            <w:pPr>
              <w:jc w:val="left"/>
            </w:pPr>
            <w:r>
              <w:rPr>
                <w:rFonts w:ascii="Arial" w:cs="Arial" w:eastAsia="Arial" w:hAnsi="Arial"/>
                <w:sz w:val="24"/>
                <w:szCs w:val="24"/>
              </w:rPr>
              <w:t xml:space="preserve">Укрепление доверия населения к финансовой системе в целом</w:t>
            </w:r>
          </w:p>
        </w:tc>
        <w:tc>
          <w:tcPr>
            <w:tcW w:type="dxa" w:w="53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3605"/>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НБ (по согласованию), финансово-кредитные учреждения (по согласованию)</w:t>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НБ, средства участников финансового рынка; гранты донорских организаций</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ПОВЫСИТЬ КАЧЕСТВО РЫНКА ТРУДА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качество профессионального образования</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в планы развития организаций образования мероприятия профориентационного характера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часов профориентационной направленности (часов/мероприятий)</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стандарты нового поколения в организациях среднего профессионального и высшего профессионального образования с ориентиром на современные технологии, а также качество рынка труда</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направлений подготовки и специальностей, работающих по новым стандартам</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Технологически переоснастить ведущие учреждения, занимающиеся профессиональной подготовкой специалистов по приоритетным направлениям экономики и в соответствии со стандартами качества начального среднего профессионального образования</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рынка труда</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7.1.4</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профессиональной компетентности работников общеобразовательных организаций</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Обучение 9000 педагогов и административных работников школ</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7.1.5</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вовлечения работодателей в процесс подготовки работников (разработка учебных программ, участие работодателей в процесс подготовки и т.д.)</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Учебные программы, реализуемые совместно с работодателями</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Ассоциации работодателей (по согласованию)</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7.2</w:t>
            </w:r>
          </w:p>
        </w:tc>
        <w:tc>
          <w:tcPr>
            <w:tcW w:type="dxa" w:w="9234"/>
            <w:gridSpan w:val="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Упорядочить процессы внутренней и внешней миграции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7.2.1</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 регулярно обновлять электронную базу данных физических и юридических лиц, занимающихся трудоустройством граждан Кыргызской Республики за рубежом</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базы данных</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7.2.2</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специальные программы обучения для внешних мигрантов согласно установленным требованиям принимающей страны</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специальной программы</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МОН</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7.2.3</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систему сбора и обмена миграционными данными</w:t>
            </w:r>
          </w:p>
        </w:tc>
        <w:tc>
          <w:tcPr>
            <w:tcW w:type="dxa" w:w="321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миграционного профиля: индикаторы процессов миграции, рекомендации по управлению миграционными процессами и минимизации рисков для мигрантов</w:t>
            </w:r>
          </w:p>
        </w:tc>
        <w:tc>
          <w:tcPr>
            <w:tcW w:type="dxa" w:w="80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15.06.2016</w:t>
            </w:r>
          </w:p>
        </w:tc>
        <w:tc>
          <w:tcPr>
            <w:tcW w:type="dxa" w:w="2717"/>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w:t>
            </w:r>
          </w:p>
        </w:tc>
        <w:tc>
          <w:tcPr>
            <w:tcW w:type="dxa" w:w="124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НИСИ</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01"/>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92"/>
            <w:gridSpan w:val="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7.2.4.</w:t>
            </w:r>
          </w:p>
        </w:tc>
        <w:tc>
          <w:tcPr>
            <w:tcW w:type="dxa" w:w="125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широкую информационную работу через средства массовой информации о правилах перемещения и трудоустройства в государствах-членах Евразийского экономического союза и выводе граждан из списка лиц, въезд которым на территорию Российской Федерации временно запрещен</w:t>
            </w:r>
          </w:p>
        </w:tc>
        <w:tc>
          <w:tcPr>
            <w:tcW w:type="dxa" w:w="3218"/>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числа граждан Кыргызской Республики, легально осуществляющих трудовую деятельность в государствах-членах ЕАЭС, а также выведенных из списка лиц, въезд которым на территорию Российской Федерации временно запрещен</w:t>
            </w:r>
          </w:p>
        </w:tc>
        <w:tc>
          <w:tcPr>
            <w:tcW w:type="dxa" w:w="801"/>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постоян-ной основе</w:t>
            </w:r>
          </w:p>
        </w:tc>
        <w:tc>
          <w:tcPr>
            <w:tcW w:type="dxa" w:w="2717"/>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24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c>
          <w:tcPr>
            <w:tcW w:type="dxa" w:w="3"/>
            <w:gridSpan w:val="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9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2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2251"/>
        <w:gridCol w:w="2435"/>
        <w:gridCol w:w="1142"/>
        <w:gridCol w:w="1795"/>
        <w:gridCol w:w="1795"/>
      </w:tblGrid>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вопросам льготного налогообложения по налогу на прибыль иностранных инвесторов, при условии привлечения ими к работе местных трудовых ресурсов не менее 90 процентов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Проработка вариантов льготного налогообложения по налогу на прибыль иностранных инвесторов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МФ, ГНС, МТСР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о предоставлении преференций субъектам предпринимательства, осуществляющим деятельность в индустриальных парках</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открытия новых предприятий и создания рабочих мест в регионах</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ГНС, Соцфонд</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законопроект, предусматривающий возможность привлечения в один хозяйствующий субъект не более 20 процентов иностранных граждан</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занятости местного населения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10.10.2016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7.4</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Реформировать рынок труда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модель прогнозирования потребности в трудовых ресурсах</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Прогнозные значения потребности в трудовых ресурсах</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МТСР, НСК (по согласованию), ГСМ</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баланс трудовых ресурсов в разрезе отраслей экономики и регионов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показателей, отражающих численность и состав трудовых ресурсов, занятость по отраслям экономики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(по согласованию), МТСР, министерства и ведомства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мониторинг спроса и предложения рабочей силы в разрезе конкретных профессий, прогнозирование состояния региональных рынков труда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ежегодного прогноза потребности в специалистах на региональных рынках труда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ПП ПКР в областях, мэрии городов Бишкек и Ош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местные бюджеты</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7.4.4</w:t>
            </w: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Сформировать пилотные группы самозанятости:</w:t>
            </w:r>
          </w:p>
        </w:tc>
        <w:tc>
          <w:tcPr>
            <w:tcW w:type="dxa" w:w="24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определить группы товаров повседневного спроса с учетом доступности сырья, конкурентоспособности, технологических и других возможностей экономики страны;</w:t>
            </w:r>
          </w:p>
        </w:tc>
        <w:tc>
          <w:tcPr>
            <w:tcW w:type="dxa" w:w="24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Перечень товаров для изготовления группами самозанятости</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01.06.2016</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НИСИ</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разработать механизмы финансирования предпринимательской деятельности групп самозанятости через микрокредитование;</w:t>
            </w:r>
          </w:p>
        </w:tc>
        <w:tc>
          <w:tcPr>
            <w:tcW w:type="dxa" w:w="24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Наличие механизма финансирования деятельности групп самозанятости</w:t>
            </w:r>
          </w:p>
        </w:tc>
        <w:tc>
          <w:tcPr>
            <w:tcW w:type="dxa" w:w="11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01.07.2016</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МТСР, коммерческие банки (по согласованию)</w:t>
            </w:r>
          </w:p>
        </w:tc>
        <w:tc>
          <w:tcPr>
            <w:tcW w:type="dxa" w:w="179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r>
      <w:tr>
        <w:tc>
          <w:tcPr>
            <w:vMerge w:val="continue"/>
            <w:tcBorders>
              <w:top w:val="none" w:color="auto" w:sz="0"/>
              <w:left w:val="single" w:color="CBBF9E" w:sz="4"/>
              <w:bottom w:val="single" w:color="CBBF9E" w:sz="4"/>
              <w:right w:val="single" w:color="CBBF9E" w:sz="4"/>
            </w:tcBorders>
          </w:tcP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разработать и внедрить учебные программы по подготовке специалистов для работы в рамках самозанятости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учебных программ</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внебюджетные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реализации чека на обучение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безработных, направленных на профессиональное обучение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механизмы вовлечения профсоюзов в работу по повышению квалификации работников, их переобучению, поиску возможностей трудоустройства и т.д.</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Положения о взаимодействии государственных органов и профсоюзов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ФПК (по согласованию), министерства и ведомства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7.4.7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независимые исследования по изучению эффективности социальных отчислений, как с точки зрения бизнеса, так и устойчивости пенсионного обеспечения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конкретными предложениями по повышению эффективности социальных отчислений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НИСИ, Соцфонд, Секретариат по развитию бизнеса и инвестициям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Донорские/грантовые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7.5</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Содействовать защите социальных прав граждан, при необходимости - последующая реинтеграция</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ипотечных кредитов в рамках программы "Доступное жилье 2015-2020"</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жилищных условий работников социальной и бюджетной сфер.</w:t>
            </w:r>
          </w:p>
          <w:p>
            <w:pPr>
              <w:jc w:val="left"/>
            </w:pPr>
            <w:r>
              <w:rPr>
                <w:rFonts w:ascii="Arial" w:cs="Arial" w:eastAsia="Arial" w:hAnsi="Arial"/>
                <w:sz w:val="24"/>
                <w:szCs w:val="24"/>
              </w:rPr>
              <w:t xml:space="preserve">Начало выдачи ипотечных кредитов с февраля 2016 года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ГИК (по согласованию), МФ, Соцфонд</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7.5.2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специальные меры по работе с особыми категориями мигрантов: жертвами торговли людьми, людьми, получившими инвалидность во время работы за рубежом, возвратившимися с приобретенной социальной болезнью (ВИЧ, ИППП, туберкулез)</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положений о механизмах перенаправления особых категорий мигрантов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ГСМ, МИД, ГПС, МТСР, МЗ, МОН</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РАЗВИТИЕ СЕЛА И УРБАНИЗАЦИИ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8.1</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Сформировать 16-18 точек регионального развития</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регионального развития "Города - точки ступени регионального развития"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фундаментальных основ для развития городов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15.03.2016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Отобрать на основе системы критериев 16-18 городов - точек регионального развития на базе Концепции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городов - точек развития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бизнес-планы, включающие финансовую и маркетинговую модели развития городов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Детализированный план действий, система оценки рисков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Отобранные города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Координационный совет по привлечению инвестиций и поддержке предпринимателей в каждой области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 продвижение инвестиций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ПП ПКР в области,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Местный бюджет</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два логистических центра международного уровня: на юге страны ("Южный"), на севере страны ("Северный")</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логистических центров на юге и на севере страны</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ПП ПКР в областях, РКФР (по согласованию), ОАО "Айыл Банк" (по согласованию), ОАО "РСК Банк"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инвестиции, средства РКФР, ОАО "Айыл Банк", ОАО "РСК Банк"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Разместить в шести городах - точках роста центры обслуживания населения (ЦОН) и модернизировать объекты социального назначения до уровня регионального значения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и функционирование 6 ЦОН</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МФ, МЮ, МТСР, ФУГИ, ГАМСУМО</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план мероприятий по созданию на базе существующих областных центров опорных школ с углубленным изучением приоритетных школьных предметов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качества предоставления образовательных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30.07.2016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8.2</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Содействовать развитию сельского хозяйства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выдачу сельскохозяйственной техники в лизинг в целях создания центров агротехнического обслуживания и поддержания сельскохозяйственной техники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в лизинг 250 единиц техники.</w:t>
            </w:r>
          </w:p>
          <w:p>
            <w:pPr>
              <w:jc w:val="left"/>
            </w:pPr>
            <w:r>
              <w:rPr>
                <w:rFonts w:ascii="Arial" w:cs="Arial" w:eastAsia="Arial" w:hAnsi="Arial"/>
                <w:sz w:val="24"/>
                <w:szCs w:val="24"/>
              </w:rPr>
              <w:t xml:space="preserve">Повышение производительности труда в сельском хозяйстве</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ОАО "Айыл Банк"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Инвестиционные кредиты ЕАБР, Турецкой Республики, гранты КНР и Японии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и оказать поддержку внедрению технологии капельного орошения и увеличить площадь охвата на 350 га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площади применения технологии системы капельного орошения до 1000 га, выдача кредитов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 частные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и запуск 260 новых теплиц в регионах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разных типов теплиц до 1000 единиц</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 частные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Решить вопрос строительства двух экспортоориентированных теплиц: на юге и на севере страны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Выделение земельного участка.</w:t>
            </w:r>
          </w:p>
          <w:p>
            <w:pPr>
              <w:jc w:val="left"/>
            </w:pPr>
            <w:r>
              <w:rPr>
                <w:rFonts w:ascii="Arial" w:cs="Arial" w:eastAsia="Arial" w:hAnsi="Arial"/>
                <w:sz w:val="24"/>
                <w:szCs w:val="24"/>
              </w:rPr>
              <w:t xml:space="preserve">Заключение договора с инвестором</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Частные иностранные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строительство 10 современных предприятий по организованному убою скота и первичной переработке мяса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решений Правительства Кыргызской Республики о финансировании строительства убойных цехов, соответствующим техническим регламентам ЕАЭС</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МФ, РКФР (по согласованию), ОАО "Айыл Банк" (по согласованию), "РСК Банк"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РКФР, частные инвестиции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государственной поддержки предприятий пищевой и перерабатывающей промышленности с применением принципов государственно-частного партнерства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создания предприятий по переработке продукции растениеводства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развития пищевой и перерабатывающей промышленности на 2016-2017 годы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мер по поддержке пищевой и перерабатывающей промышленности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МЭ</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8.2.8(*)</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7 ветеринарных и 5 фитосанитарных лабораторий для сертификации продукции сельского хозяйства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выхода отечественных производителей на экспортные рынки.</w:t>
            </w:r>
          </w:p>
          <w:p>
            <w:pPr>
              <w:jc w:val="left"/>
            </w:pPr>
            <w:r>
              <w:rPr>
                <w:rFonts w:ascii="Arial" w:cs="Arial" w:eastAsia="Arial" w:hAnsi="Arial"/>
                <w:sz w:val="24"/>
                <w:szCs w:val="24"/>
              </w:rPr>
              <w:t xml:space="preserve">Обеспечение прохождения сертификации не менее 90% объема продукции сельского хозяйства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ГИВФБ, МСХМ</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грантовая помощь РФ и РК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8.2.9</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инструмент страхования экспорта продукции сельскохозяйственных производителей и переработчиков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застрахованного экспорта сельскохозяйственной продукции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8.2.10(*)</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субсидирования и сертификации системы менеджмента качества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объемов экспорта сертифицированной сельхозпродукции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МФ, ГИВФБ</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8.3</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восстановление ирригационной сети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Государственной программы по восстановлению и реконструкции объектов ирригации и дренажных систем</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задач в сфере ирригации и мелиорации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ДВХМ,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Всемирный банк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ежегодную реконструкцию и ввести в эксплуатацию 2500 га орошаемой земли в Кадамжайском, Лейлекском, Баткенском, Чон-Алайском, Нарынском, Кара-Бууринском районах</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в эксплуатацию новых орошаемых земель</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ДВХМ,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Всемирный банк</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обследование 93 водохранилищ, бассейнов суточного и декадного регулирования и разработать план по их восстановлению и строительству</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и строительство водохранилищ, бассейнов суточного и декадного регулирования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МСХМ, ДВХМ,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8.4</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население чистой питьевой водой</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8.4.1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доступ жителей 50 сел к безопасной питьевой воде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и реабилитация систем питьевого водоснабжения сел республики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ГААСЖКХ,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международных финансовых институтов</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8.5</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Совершенствовать управление регионами и местное самоуправление</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 подготовить предложения по административно-территориальной реформе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предложений по укрупнению айылных аймаков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Координационный совет по реализации АТР (по согласованию), ГАМСУМО, ПП ПКР в областях,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систему финансирования ОМСУ путем перехода на стимулирующие механизмы финансирования, содействующие сокращению количества дотационных регионов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количества дотационных регионов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МФ,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социальных и экономических проектов в приграничных районах республики в целях минимизации уровня миграции местного населения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дорог, мостов, школ и иной инфраструктуры</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Аппараты ПП ПКР в областях</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Местные бюджеты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внесению изменений в Государственную программу по обеспечению безопасности и социально-экономическому развитию отдельных приграничных территорий Кыргызской Республики, имеющих особый статус</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постановление Правительства Кыргызской Республики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20.08.2016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предупреждение и предотвращение межэтнических конфликтов</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направленных на предотвращение межэтнических конфликтов</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ГАМСУМО,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местные бюджеты, средства доноров</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8.5.6</w:t>
            </w:r>
          </w:p>
        </w:tc>
        <w:tc>
          <w:tcPr>
            <w:tcW w:type="dxa" w:w="2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механизм государственного социального заказа для обеспечения доступа к социальным услугам семей с детьми, находящихся в трудной жизненной ситуации, пожилых граждан, лиц с ограниченными возможностями здоровья на местном уровне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для обеспечения доступа к социальным услугам социально уязвимым слоям населения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НКО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Разработанная методика определения стоимости социальных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министерства и ведомства, НКО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РАЗВИТИЕ КОНКУРЕНЦИИ</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9.1</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Сократить государственное участие в экономике</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Программы развития конкуренции и совершенствования антимонопольного регулирования в Кыргызской Республике</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приоритетов и направлений для проведения эффективной антимонопольной (конкурентной) политики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Оптимизировать количество государственных предприятий, в том числе путем акционирования и ликвидации неэффективных государственных предприятий</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государственного участия в экономике: преобразование или ликвидация 100 неэффективных или нефункционирующих государственных предприятий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Национальный холдинг по управлению государственными активами и имуществом на базе Фонда по управлению государственным имуществом при Правительстве Кыргызской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компаниями с государственной долей участия и повышение эффективности управления государственными компаниями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Национальную энергетическую холдинговую компанию</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управление энергетическими компаниями с государственной долей участия и повышение эффективности управления государственными компаниями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9.1.5</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методику проведения учета и инвентаризации государственного имущества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правил проведения учета и инвентаризации государственного имущества</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государственные органы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9.1.6</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функционирование межведомственной автоматизированной информационной системы "Единый реестр государственного имущества"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программного обеспечения согласно техническому заданию, закуп и установка программно-технических средств и оборудования согласно спецификации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 государственные органы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9.1.7</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акционирование ГП "Кыргыз почтасы"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Преобразование государственного предприятия в акционерное общество</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9.1.8</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менеджмента качества на основе международных стандартов ISO 9000 и оптимизировать управление бизнес-процессами в ГП "Кыргыз почтасы"</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руководства по качеству, документированных процедур для бизнес-процессов предприятия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 почтасы"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Собственные средства ГП "Кыргыз почтасы"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9.1.9</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центр обработки данных и обеспечить 10 почтовых филиалов ГП "Кыргыз почтасы" инкассаторскими автомобилями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логистики и автоматизация бизнес-процессов предприятия</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МТК, ГП "Кыргыз почтасы"</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Кредитные и грантовые средства МАР</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9.2</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Пересмотреть отдельные функции государства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Упразднить функцию антимонопольного органа в части согласования стоимости образовательных услуг</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равных условий для частных заведений в части формирования тарифов на платные образовательные услуги</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01.04.2016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ГААР, МОН</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9.2.2</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работу по созданию программного обеспечения посредством модификации программного обеспечения функционал веб-сайта "Государственные закупки"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функционирование веб-сайта государственных закупок</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доноры</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9.2.3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акционерное общество "Кыргызгеология" на базе всех государственных предприятий Государственного агентства геологии и минеральных ресурсов при Правительстве Кыргызской Республики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и сокращение количества государственных предприятий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ГАГМР, ФУГИ</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ГАГМР</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КАЧЕСТВО ЧЕЛОВЕЧЕСКИХ РЕСУРСОВ</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10.1</w:t>
            </w:r>
          </w:p>
        </w:tc>
        <w:tc>
          <w:tcPr>
            <w:tcW w:type="dxa" w:w="9418"/>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Укрепить институт семьи (меры социальной защиты детей)</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10.1.1</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социальные услуги для детей и семей, находящихся в трудной жизненной ситуации, по потребности населения</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центров по предоставлению социальных услуг</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РГА, ОМСУ (по согласованию), НКО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местные бюджеты, внебюджетные средства</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10.1.2</w:t>
            </w:r>
          </w:p>
        </w:tc>
        <w:tc>
          <w:tcPr>
            <w:tcW w:type="dxa" w:w="22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уровень социальной защиты малообеспеченных семей</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гарантированного минимального дохода</w:t>
            </w:r>
          </w:p>
        </w:tc>
        <w:tc>
          <w:tcPr>
            <w:tcW w:type="dxa" w:w="114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ежемесячного пособия малообеспеченным семьям, имеющим детей</w:t>
            </w:r>
          </w:p>
        </w:tc>
        <w:tc>
          <w:tcPr>
            <w:vMerge w:val="continue"/>
            <w:tcBorders>
              <w:top w:val="none" w:color="auto" w:sz="0"/>
              <w:left w:val="none" w:color="auto" w:sz="0"/>
              <w:bottom w:val="single" w:color="CBBF9E" w:sz="4"/>
              <w:right w:val="single" w:color="CBBF9E" w:sz="4"/>
            </w:tcBorders>
          </w:tcP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семей, получивших дополнительную помощь</w:t>
            </w:r>
          </w:p>
        </w:tc>
        <w:tc>
          <w:tcPr>
            <w:vMerge w:val="continue"/>
            <w:tcBorders>
              <w:top w:val="none" w:color="auto" w:sz="0"/>
              <w:left w:val="none" w:color="auto" w:sz="0"/>
              <w:bottom w:val="single" w:color="CBBF9E" w:sz="4"/>
              <w:right w:val="single" w:color="CBBF9E" w:sz="4"/>
            </w:tcBorders>
          </w:tcP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ПП ПКР в областях, РГА,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ВПП ООН</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10.1.3</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Выявить детей и семей, находящихся в трудной жизненной ситуации</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Выведение из трудной жизненной ситуации 50% детей</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10.1.4.</w:t>
            </w:r>
          </w:p>
        </w:tc>
        <w:tc>
          <w:tcPr>
            <w:tcW w:type="dxa" w:w="22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утверждение государственной программы по укреплению института семьи, поддержки материнства и детства</w:t>
            </w:r>
          </w:p>
        </w:tc>
        <w:tc>
          <w:tcPr>
            <w:tcW w:type="dxa" w:w="2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благоприятной среды для развития института семьи </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МКИТ, СФ</w:t>
            </w:r>
          </w:p>
        </w:tc>
        <w:tc>
          <w:tcPr>
            <w:tcW w:type="dxa" w:w="1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привлеченные средства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1884"/>
        <w:gridCol w:w="1884"/>
        <w:gridCol w:w="1884"/>
        <w:gridCol w:w="1884"/>
        <w:gridCol w:w="1884"/>
      </w:tblGrid>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10.2</w:t>
            </w:r>
          </w:p>
        </w:tc>
        <w:tc>
          <w:tcPr>
            <w:tcW w:type="dxa" w:w="94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состояние здоровья населения</w:t>
            </w:r>
          </w:p>
        </w:tc>
      </w:tr>
      <w:tr>
        <w:tc>
          <w:tcPr>
            <w:tcW w:type="dxa" w:w="75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10.2.1</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Улучшить показатели здоровья и снижение показателей смертности:</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8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w:t>
            </w: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туберкулез;</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снижение показателя заболеваемости до 92 на 100,0 тыс. населения;</w:t>
            </w:r>
          </w:p>
          <w:p>
            <w:pPr>
              <w:jc w:val="left"/>
            </w:pPr>
            <w:r>
              <w:rPr>
                <w:rFonts w:ascii="Arial" w:cs="Arial" w:eastAsia="Arial" w:hAnsi="Arial"/>
                <w:sz w:val="24"/>
                <w:szCs w:val="24"/>
              </w:rPr>
              <w:t xml:space="preserve">снижение показателя смертности до 8 на 100,0 тыс.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охрана здоровья матери и ребенка;</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 снижение показателя материнской смертности до 46,6 на 100,0 тыс. живорожденных детей;</w:t>
            </w:r>
          </w:p>
          <w:p>
            <w:pPr>
              <w:jc w:val="left"/>
            </w:pPr>
            <w:r>
              <w:rPr>
                <w:rFonts w:ascii="Arial" w:cs="Arial" w:eastAsia="Arial" w:hAnsi="Arial"/>
                <w:sz w:val="24"/>
                <w:szCs w:val="24"/>
              </w:rPr>
              <w:t xml:space="preserve">снижение показателя младенческой смертности до 19,0 на 1000 родившихся детей.</w:t>
            </w:r>
          </w:p>
          <w:p>
            <w:pPr>
              <w:jc w:val="left"/>
            </w:pPr>
            <w:r>
              <w:rPr>
                <w:rFonts w:ascii="Arial" w:cs="Arial" w:eastAsia="Arial" w:hAnsi="Arial"/>
                <w:sz w:val="24"/>
                <w:szCs w:val="24"/>
              </w:rPr>
              <w:t xml:space="preserve">Снижение показателя детской смертности (до 5 лет) до 19,5 на 1000 родившихся детей;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сердечнососудистые заболевания;</w:t>
            </w:r>
          </w:p>
        </w:tc>
        <w:tc>
          <w:tcPr>
            <w:tcW w:type="dxa" w:w="18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 снижение показателя смертности от сердечнососудистых заболеваний среди 30-39/40-59 лет до 47,4 на 100000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ВИЧ</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снижение показателя распространенности ВИЧ-инфекции до 64,9 на 100,0 тысяч населения</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10.2.2</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дорожную карту по оптимизации системы оказания противотуберкулезной помощи</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системы оказания противотуберкулезной помощи</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15.11.2016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10.2.3</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в систему электронного правительства Единую информационную систему здравоохранения, Единую базу лекарств и медицинских препаратов</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Концепция "Электронное здравоохранение"</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10.2.4</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базового государственного медицинского страхования в организации здравоохранения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Поэтапный перевод бюджетных средств на страховой принцип работы в целях повышения качества предоставления медицинских услуг и сокращения уровня неформальных платежей населения</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10.05.2016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Бюджет МЗ и ФОМС</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10.2.5</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Стимулировать организации здравоохранения к улучшению качества предоставления медицинских услуг населению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объема финансовых средств, направленных на стимулирование улучшения качества медицинских услуг</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Грантовые средства проекта ВБ "Финансирование основанное на результатах"</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отделения однодневного пребывания детей в стационаре для оптимизации предоставления медицинских услуг</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Оптимизации предоставления медицинских услуг для детей</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ОМС</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10.2.7</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экономическую доступность лекарственных средств для незастрахованных женщин по обязательному медицинскому страхованию в период беременности и послеродовой период</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выданных бесплатных полисов обязательного медицинского страхования</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ОМС</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10.2.8.</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Пересмотреть перечень лекарственных средств, возмещаемых по дополнительной программе ОМС и Программе государственных гарантий на амбулаторном уровне, в условиях повышения цен на лекарственные препараты</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Оптимизация перечня лекарственных средств, возмещаемых по дополнитель-ной программе ОМС</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25.05.2016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ФОМС, МЗ, МФ</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10.2.9.</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решения Правительства Кыргызской Республики по введению государственного регулирования цен на лекарственные средства</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для населения экономической доступности лекарственных средств</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31.08.2016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9"/>
        <w:gridCol w:w="1884"/>
        <w:gridCol w:w="1884"/>
        <w:gridCol w:w="1884"/>
        <w:gridCol w:w="1884"/>
        <w:gridCol w:w="1884"/>
      </w:tblGrid>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10.3</w:t>
            </w:r>
          </w:p>
        </w:tc>
        <w:tc>
          <w:tcPr>
            <w:tcW w:type="dxa" w:w="94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качество социальных услуг</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10.3.1</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критерии и стандарты аккредитации организаций здравоохранения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предоставления медицинских услуг</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10.3.2</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механизмы аккредитации организаций образования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обучения учащихся и студентов организаций профессионального образования всех уровней</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10.09.2016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10.3.3</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независимую аккредитацию вузов и присвоить им независимый рейтинг</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обучения студентов</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вузов</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10.3.4</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готовность к школе каждого ребенка от 5,5 до 7 лет за счет внедрения предшкольной подготовки во всех регионах страны</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Предшкольная подготовка 100000 детей</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10.3.5</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Систематически и комплексно контролировать детей школьного возраста и обеспечить им доступ к услугам образования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учета детей школьного возраста.</w:t>
            </w:r>
          </w:p>
          <w:p>
            <w:pPr>
              <w:jc w:val="left"/>
            </w:pPr>
            <w:r>
              <w:rPr>
                <w:rFonts w:ascii="Arial" w:cs="Arial" w:eastAsia="Arial" w:hAnsi="Arial"/>
                <w:sz w:val="24"/>
                <w:szCs w:val="24"/>
              </w:rPr>
              <w:t xml:space="preserve">Возвращение в школу 50% детей, не посещающих школу</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ОМСУ (по согласованию)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инклюзивную образовательную среду для детей с ограниченными возможностями здоровья</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школ, в которых организовано обучение детей с ограниченными возможностями здоровья</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Донорские средства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10.3.7.</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электронную систему учета школьников и программное обеспечение для учета успеваемости школьников в пилотных школах</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Эффективное распределение ресурсов и учет учащихся в общеобразовательных организациях</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10.3.8.</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полноценный доступ слабовидящих и невидящих детей к образованию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УМК учебных заведений для слабовидящих и невидящих школьников</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01.11.2016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10.3.9.</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персонального государственного финансирования студентов вузов</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базы для государственного финансирования обучения студентов по приоритетным направлениям</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10 .04.2016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75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10.3.10.</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Подключить общеобразовательные учреждения Кыргызской Республики к высокоскоростной сети Интернет</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Подключение 700 школ к высокоскоростной сети Интернет в рамках реализации проекта «Цифровая школа»</w:t>
            </w:r>
          </w:p>
        </w:tc>
        <w:tc>
          <w:tcPr>
            <w:tcW w:type="dxa" w:w="1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p>
            <w:pPr>
              <w:jc w:val="left"/>
            </w:pPr>
            <w:r>
              <w:rPr>
                <w:rFonts w:ascii="Arial" w:cs="Arial" w:eastAsia="Arial" w:hAnsi="Arial"/>
                <w:sz w:val="24"/>
                <w:szCs w:val="24"/>
              </w:rPr>
              <w:t xml:space="preserve">ГАС,</w:t>
            </w:r>
          </w:p>
          <w:p>
            <w:pPr>
              <w:jc w:val="left"/>
            </w:pPr>
            <w:r>
              <w:rPr>
                <w:rFonts w:ascii="Arial" w:cs="Arial" w:eastAsia="Arial" w:hAnsi="Arial"/>
                <w:sz w:val="24"/>
                <w:szCs w:val="24"/>
              </w:rPr>
              <w:t xml:space="preserve">ОАО «Кыр-гызтелеком» (по согласо-ванию)</w:t>
            </w:r>
          </w:p>
        </w:tc>
        <w:tc>
          <w:tcPr>
            <w:tcW w:type="dxa" w:w="1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
        <w:gridCol w:w="841"/>
        <w:gridCol w:w="1162"/>
        <w:gridCol w:w="1162"/>
        <w:gridCol w:w="1162"/>
        <w:gridCol w:w="1162"/>
        <w:gridCol w:w="1162"/>
        <w:gridCol w:w="1162"/>
        <w:gridCol w:w="1162"/>
        <w:gridCol w:w="1162"/>
      </w:tblGrid>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10.4</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переход на нормативно-подушевое финансирование учреждений системы образования</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принципы подушевого финансирования в системе высшего профессионального образования</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стандартов в 24 вузах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10.4.2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ответственность школ за включение учащихся в систему образования</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нормативов бюджетного финансирования общеобразовательных организаций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10.5</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Привлечь частные инвестиции в образование</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перечень услуг и разработать проект решения Правительства Кыргызской Республики по вопросу передачи отдельных образовательных услуг на аутсорсинг</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взаимодействия Министерства образования и науки Кыргызской Республики с гражданским обществом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Развивать инновационные образовательные центры на основе ГЧП в городах - точках роста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инновационных школ в городах - точках роста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10.5.3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международный молодежный конкурс "Мы - интеллектуалы XXI века" и научно-техническую олимпиаду школьников и студентов</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Активизация научно-технического творчества молодежи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30.04.2016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Кыргызпатент, Республиканская детская инженерная академия "Алтын Туйун"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бюджета Кыргызпатента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10.6</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Привлечь население к систематическим занятиям физической культурой и спортом</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административные регламенты государственных услуг в сфере физической культуры и спорта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качества предоставляемых государственных услуг для населения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кыргызских спортсменов на XXXI летних Олимпийских играх в городе Рио-де-Жанейро (Бразилия)</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Занятие призового места на XXXI летних Олимпийских играх в городе Рио-де-Жанейро (Бразилия)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бюджет НОК</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10.6.3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подготовку и участие кыргызских спортсменов на </w:t>
            </w:r>
            <w:r>
              <w:rPr>
                <w:rFonts w:ascii="Arial" w:cs="Arial" w:eastAsia="Arial" w:hAnsi="Arial"/>
                <w:sz w:val="24"/>
                <w:szCs w:val="24"/>
              </w:rPr>
              <w:t xml:space="preserve">II </w:t>
            </w:r>
            <w:r>
              <w:rPr>
                <w:rFonts w:ascii="Arial" w:cs="Arial" w:eastAsia="Arial" w:hAnsi="Arial"/>
                <w:sz w:val="24"/>
                <w:szCs w:val="24"/>
              </w:rPr>
              <w:t xml:space="preserve">Всемирных Играх кочевников в Кыргызстане</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Занятие первого общекомандного места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30.10.2016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10.7</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развитие сферы культуры и цифрового телевидения</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10.7.1</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благоприятные условия для привлечения негосударственных ресурсов путем развития меценатства со стороны бизнес-сообщества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негосударственных ресурсов на развитие культуры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меценатов и доноров</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10.7.2</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в связи с 1000-летием Жусупа Баласагына с участием стран-членов ТЮРКСОЙ, в рамках которого создать два музейных комплекса по истории тюркских каганатов на базе Республиканского архитектурно-археологического музея-комплекса "Башня Бурана" и Узгенского историко-археологического комплекса и создание туристических зон</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3-х мероприятий международного уровня, более 15 мероприятий республиканского уровня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20.10.2016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10.7.3</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единый туристический портал и обеспечить его функционирование</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туристического потока, создание привлекательного туристического имиджа страны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ДТ при 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10.7.4</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техническую модернизацию областных телеканалов, вошедших в социальный пакет</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Подключение к цифровому вещанию 6 областных телеканалов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10.7.5</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Возвести мемориал, посвященный памяти жертв 1916 года, в Мемориальном комплексе "Ата-Бейит"</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мероприятий, посвященных памяти жертв 1916 года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ГААСЖКХ, МФ</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реконструкцию ипподрома в с.Бактуу-Долоноту в Иссык-Кульской области</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Вторых Всемирных игр кочевников в Кыргызстане</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01.08.2016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ГАМФКС, ГААСЖКХ, МФ</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за счет привлеченных средств</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10.7.7.</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запустить Программу развития туризма</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потенциальных туристов из зарубежных стран</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донорской помощи</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10.7.8.</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Открыть туристические информационные центры</w:t>
            </w:r>
          </w:p>
        </w:tc>
        <w:tc>
          <w:tcPr>
            <w:tcW w:type="dxa" w:w="3486"/>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Максимальная информированность туристов о туристическом потенциале Кыргызской Республики </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30.08.2016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и донорской помощи</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УСТОЙЧИВОСТЬ ОКРУЖАЮЩЕЙ СРЕДЫ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11.1</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Обеспечение защиты окружающей среды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Закона Кыргызской Республики "Об экологической оценке"</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направленной на предотвращение, и/или смягчение негативных экологических последствий, возникающих в результате реализации документов государственного планирования и намечаемой деятельности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20.07.2016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определения платы за пользование поверхностными водами как за природный ресурс</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по установлению платы за воду</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определения экологического ущерба, нанесенного ледникам</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нормативной правовой базы по определению экологического ущерба, нанесенного ледникам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11.1.4</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методику расчета предельно допустимого сброса загрязняющих веществ в окружающую среду</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норматива предельно допустимого сброса загрязняющих веществ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11.1.5</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комплекса мероприятий по обеспечению экологической безопасности на 2016-2020 годы</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мероприятий по обеспечению экологической безопасности на 2016-2020 годы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30.08.2016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проект Концепции низкоуглеродного развития в целях смягчения антропогенного влияния на окружающую среду</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мер для предотвращения и смягчения последствий изменения климата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ПРООН, в рамках республиканского бюджета</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площади лесов на всей территории страны</w:t>
            </w:r>
          </w:p>
        </w:tc>
        <w:tc>
          <w:tcPr>
            <w:tcW w:type="dxa" w:w="232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Посадка лесных культур на территории государственного лесного фонда на площади 1100 га.</w:t>
            </w:r>
          </w:p>
        </w:tc>
        <w:tc>
          <w:tcPr>
            <w:tcW w:type="dxa" w:w="232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01.06.2016</w:t>
            </w:r>
          </w:p>
          <w:p>
            <w:pPr>
              <w:jc w:val="center"/>
            </w:pPr>
            <w:r>
              <w:rPr>
                <w:rFonts w:ascii="Arial" w:cs="Arial" w:eastAsia="Arial" w:hAnsi="Arial"/>
                <w:sz w:val="24"/>
                <w:szCs w:val="24"/>
              </w:rPr>
              <w:t xml:space="preserve">30.10.2016</w:t>
            </w:r>
          </w:p>
        </w:tc>
        <w:tc>
          <w:tcPr>
            <w:tcW w:type="dxa" w:w="116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ГАООСЛХ, ОМСУ (по согласованию)</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Обеспечение посадочным материалом быстрорастущих пород в процессе социального лесоразведения в количестве 2 млн. штук</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11.1.8</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Увеличить ассортимент пород, внедрить новые технологии (капельное орошение, закрытая корневая система и др.)</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питомников в регионах республики с использованием новых передовых технологий по выращиванию посадочного материала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11.1.9</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условия для оптимизации системы сбора и вывоза твердых бытовых отходов</w:t>
            </w:r>
          </w:p>
        </w:tc>
        <w:tc>
          <w:tcPr>
            <w:tcW w:type="dxa" w:w="2324"/>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 Проведение акции "Очистка ледника Ак-Сай" от бытового мусора на принципах ГЧП на моренах и открытых частях ледника пика Ак-Сай.</w:t>
            </w:r>
          </w:p>
        </w:tc>
        <w:tc>
          <w:tcPr>
            <w:tcW w:type="dxa" w:w="2324"/>
            <w:gridSpan w:val="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30.08.2016</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НКО (по согласованию)</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Проведена общереспубликанская акция "марш парков" по очистке парковых зон республики от мусора и проведению благоустройства территорий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01.09.2016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11.1.10</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места складирования и хранения (захоронение) автотранспортных средств и других товаров, имеющих повышенный радиационный фон</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Размещение в санитарно-защитной зоне автотранспортных средств, имеющих повышенный радиационный фон</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30.03.2016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ГТС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Единые правила по ликвидации и консервации горного имущества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регулирования деятельности горнодобывающих компаний с целью обеспечения промышленной и экологической безопасности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11.1.12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положение о фонде рекультивации земельного участка и объекта недр</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правовой базы регулирования деятельности горнодобывающих компаний, кредитно-финансовых учреждений в целях гарантированного восстановления продуктивности и народно-хозяйственного значения нарушенных земель</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ГАГМР, ГИЭТБ, ГАООСЛХ</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11.2</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сохранение биоразнообразия</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фотоловушки для оценки численности и плотности популяции снежного барса в Кыргызстане на ключевых территориях</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Установление численности и плотности популяции снежных барсов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30.11.2016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Секретариат по снежному барсу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донорских организаций</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в 2017 году Глобальный саммит по сохранению снежного барса с участием глав государств ареала обитания снежного барса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оргкомитета по проведению Глобального саммита по сохранению снежного барса и наличие межведомственного плана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Секретариат по снежному барсу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донорских организаций, средства Секретариата по снежному барсу</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11.3</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Внедрить программы энергосбережения и энергоэффективности</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государственные преференции и механизмы финансовой поддержки проектов в сфере развития возобновляемых источников электроэнергии</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Привлечение инвестиций в сферу возобновляемых источников энергии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01.07.2016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ГАРТЭК</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Устранить коллизии в законодательстве Кыргызской Республики в сфере возобновляемых источников энергии</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и дополнений в Закон Кыргызской Республики "О возобновляемых источниках энергии"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01.05.2016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БЕЗОПАСНАЯ СРЕДА РАЗВИТИЯ ЧЕЛОВЕКА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12.1</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Реформировать правоохранительную систему</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о создании службы криминальной милиции и службы общественной безопасности</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оперативного реагирования на правонарушения и преступления.</w:t>
            </w:r>
          </w:p>
          <w:p>
            <w:pPr>
              <w:jc w:val="left"/>
            </w:pPr>
            <w:r>
              <w:rPr>
                <w:rFonts w:ascii="Arial" w:cs="Arial" w:eastAsia="Arial" w:hAnsi="Arial"/>
                <w:sz w:val="24"/>
                <w:szCs w:val="24"/>
              </w:rPr>
              <w:t xml:space="preserve">Эффективное осуществление предупреждения и раскрытия преступлений и правонарушений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децентрализации территориальных подразделений органов внутренних дел и их усилению</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функций контроля и анализа деятельности органов внутренних дел.</w:t>
            </w:r>
          </w:p>
          <w:p>
            <w:pPr>
              <w:jc w:val="left"/>
            </w:pPr>
            <w:r>
              <w:rPr>
                <w:rFonts w:ascii="Arial" w:cs="Arial" w:eastAsia="Arial" w:hAnsi="Arial"/>
                <w:sz w:val="24"/>
                <w:szCs w:val="24"/>
              </w:rPr>
              <w:t xml:space="preserve">Оптимизация нагрузки сотрудников территориальных органов внутренних дел и улучшение качества их деятельности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12.2</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Преобразовать ДПС в Патрульную милицию</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Образовать Патрульную милицию, поэтапно</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246 мобильных групп, обеспечивающих общественный порядок и безопасность дорожного движения, оснащенных специальным оборудованием и портативными видеорегистраторами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12.2.2</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Запустить автоматизированную систему контроля и регулирования дорожного движения</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ДТП со смертельным исходом и травматизмом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15.07.2016</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штрафов за нарушения ПДД</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Закупить необходимое количество автотранспортных средств, специального оборудования, портативных видеорегистраторов</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необходимой материально-технической базы для работы Патрульной милиции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12.3</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Обеспечить общественно-политическую стабильность, создание и использование новых возможностей для развития и демонстрации практических результатов</w:t>
            </w:r>
          </w:p>
        </w:tc>
      </w:tr>
      <w:tr>
        <w:tc>
          <w:tcPr>
            <w:tcW w:type="dxa" w:w="880"/>
            <w:gridSpan w:val="2"/>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12.3.1</w:t>
            </w:r>
          </w:p>
        </w:tc>
        <w:tc>
          <w:tcPr>
            <w:tcW w:type="dxa" w:w="2324"/>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эффективное противодействие преступности, надлежащее обеспечение общественного правопорядка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раскрытых тяжких и особо тяжких преступлений.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15.07.2016</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w:t>
            </w:r>
          </w:p>
        </w:tc>
        <w:tc>
          <w:tcPr>
            <w:tcW w:type="dxa" w:w="116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gridSpan w:val="2"/>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преступлений, совершенных в общественных местах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предложение по альтернативной подследственности преступлений, связанных с терроризмом, экстремизмом, организованной преступностью, нелегальной миграцией</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эффективности деятельности правоохранительных органов. Улучшение качества раскрытия и расследования преступлений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30.09.2016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Генпрокуратура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Приступить к реализации проекта "Электронный КУП"</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количества фактов укрытия заявлений</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МВД, ГКНБ, ГСБЭП, ГСИН, ГСКН, ГТС, Генпрокуратура (по согласованию), Верховный суд (по согласованию), ГРС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12.3.4</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мероприятия по предупреждению и пресечению межэтнических и межнациональных конфликтов</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межнационального мира и согласия в местах проживания национальных меньшинств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ГАМСУМО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12.3.5</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Пресекать преступную деятельность организованных преступных групп и лиц, причастных к незаконному обороту наркотиков, в том числе транснационального характера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Изъятие "тяжелых" наркотиков, выявление разобщенных преступных наркогрупп, каналов наркотрафика</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ГСКН, МВД, ГКНБ, 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строительство, реконструкцию, обустройство и развитие объектов пограничной службы, а также их техническое оснащение</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Строительство пограничных застав для повышения качества охраны государственной границы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12.4</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Улучшить условия содержания и обеспечения безопасности в местах лишения свободы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системы подавления сигналов сотовой связи в отдельных исправительных учреждениях</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незаконного пользования сотовой связью лиц, находящихся в исправительных учреждениях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одну исправительную колонию особого режима для содержания осужденных к пожизненному лишению свободы</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Отдельное содержание осужденных на пожизненное лишение свободы</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20.12.2016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раздельное содержание осужденных за религиозно-экстремистскую и террористическую деятельность от основной массы осужденных</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Отдельное содержание осужденных за религиозный экстремизм и терроризм</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12.5</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Адекватно реагировать на террористическую и религиозно-экстремистскую угрозы</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оперативно-розыскные мероприятия по выявлению и пресечению деятельности членов террористических, религиозно-экстремистских организаций</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Пресечение террористических актов и изъятие запрещенных предметов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ГСИН</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Пресечь каналы въезда/выезда в/из Кыргызской Республики членов террористических, религиозно-экстремистских организаций</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Предотвращение террористических и религиозно-экстремистских угроз</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ГПС, МВД</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профилактические мероприятия среди верующей части населения, студенческой молодежи и учащихся путем проведения разъяснительных бесед, лекций и демонстраций специальных репортажей</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уровня угроз и рисков массового распространения террористической и религиозно-экстремистской идеологии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10.12.2016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МВД, ГКДР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12.5.4</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проведение специальных мероприятий "Условный террорист", "Учебный нарушитель" с участием государственных органов и субъектов антитеррористической деятельности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граждан, вовлеченных в профилактические мероприятия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20.12.2016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ГСФР, субъекты антитеррористической деятельности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12.5.5</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международную встречу экспертов по повышению антитеррористической защищенности стратегически важных объектов в Кыргызстане</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передового опыта зарубежных стран по комплексному наращиванию антитеррористического потенциала страны, его распространение и использование в стране</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30.06.2016</w:t>
            </w:r>
          </w:p>
          <w:p>
            <w:pPr>
              <w:jc w:val="center"/>
            </w:pPr>
            <w:r>
              <w:rPr>
                <w:rFonts w:ascii="Arial" w:cs="Arial" w:eastAsia="Arial" w:hAnsi="Arial"/>
                <w:sz w:val="24"/>
                <w:szCs w:val="24"/>
              </w:rPr>
              <w:t xml:space="preserve">20.12.2016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ГКНБ, ГСФР, субъекты антитеррористической деятельности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12.6</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Продолжить работу по созданию государственной системы комплексного мониторинга и прогнозирования опасных природных процессов</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технико-экономическое обоснование для создания Единой системы комплексного мониторинга и прогнозирования чрезвычайных ситуаций с внедрением в Единую информационно-управляющую систему</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ТЭО на рассмотрение Научно-технического совета при Межведомственной комиссии по Гражданской защите Кыргызской Республики</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ПРООН (по согласованию)</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 средства ПРООН</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положение о системе комплексного мониторинга и прогнозирования опасных природных процессов</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мониторинга и прогнозирования опасных природных процессов</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12.7</w:t>
            </w:r>
          </w:p>
        </w:tc>
        <w:tc>
          <w:tcPr>
            <w:tcW w:type="dxa" w:w="9296"/>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Повысить уровень осведомленности населения Кыргызской Республики о рисках стихийных бедствий</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12.7.1</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обучение населения с охватом наиболее уязвимых городов и айылных аймаков по Гражданской защите</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информированности населения уязвимых городов и айылных аймаков по Гражданской защите</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12.7.2</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показ социальных роликов о рисках стихийных бедствий телерадиовещательными компаниями и информирование населения через средства массовой информации</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информированности населения о способах и методах защиты в чрезвычайных ситуациях</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15.12.2016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 МКИТ</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88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12.7.3</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24-ю сессию Генеральной Ассамблеи Международной организации гражданской обороны (МОГО) и 49-ю сессию Исполнительного совета МОГО</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роли министерства на международной арене, появление возможности привлечения проектов развития</w:t>
            </w:r>
          </w:p>
        </w:tc>
        <w:tc>
          <w:tcPr>
            <w:tcW w:type="dxa" w:w="232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01.10.2016</w:t>
            </w:r>
          </w:p>
        </w:tc>
        <w:tc>
          <w:tcPr>
            <w:tcW w:type="dxa" w:w="232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МЧС</w:t>
            </w:r>
          </w:p>
        </w:tc>
        <w:tc>
          <w:tcPr>
            <w:tcW w:type="dxa" w:w="11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республиканского бюджета</w:t>
            </w:r>
          </w:p>
        </w:tc>
      </w:tr>
      <w:tr>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480"/>
        <w:jc w:val="center"/>
      </w:pPr>
      <w:r>
        <w:rPr>
          <w:rFonts w:ascii="Arial" w:cs="Arial" w:eastAsia="Arial" w:hAnsi="Arial"/>
          <w:i/>
          <w:iCs/>
          <w:sz w:val="24"/>
          <w:szCs w:val="24"/>
        </w:rPr>
        <w:t xml:space="preserve">(В редакции </w:t>
      </w:r>
      <w:hyperlink w:history="1" r:id="rId0nkn9q1oka6wxrqqvkmt5">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КР от 11 марта 2016 года № 119)</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yrsrmqxrigw20bcc8efv">
      <w:r>
        <w:rPr>
          <w:rFonts w:ascii="Arial" w:cs="Arial" w:eastAsia="Arial" w:hAnsi="Arial"/>
          <w:color w:val="132D3F"/>
          <w:sz w:val="16"/>
          <w:szCs w:val="16"/>
          <w:u w:val="single"/>
        </w:rPr>
        <w:t xml:space="preserve">dalil.kg/document/98372</w:t>
      </w:r>
    </w:hyperlink>
  </w:p>
  <w:p>
    <w:pPr>
      <w:spacing w:after="0" w:before="40"/>
      <w:jc w:val="center"/>
    </w:pPr>
    <w:hyperlink w:history="1" r:id="rId8wehjmrs3gqnyjp0axm6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om4ktbzrjdog1nutvmgn" Type="http://schemas.openxmlformats.org/officeDocument/2006/relationships/hyperlink" Target="https://dalil.kg/document/98600" TargetMode="External"/><Relationship Id="rIdrv8ct7qxngwlgtt9zq1wg" Type="http://schemas.openxmlformats.org/officeDocument/2006/relationships/hyperlink" Target="https://dalil.kg/document/990107" TargetMode="External"/><Relationship Id="rIdqneig8ie5bkwbeuwxxw0n" Type="http://schemas.openxmlformats.org/officeDocument/2006/relationships/hyperlink" Target="https://dalil.kg/document/76504" TargetMode="External"/><Relationship Id="rIdxn4yoblx6x7cbs2vd4g4c" Type="http://schemas.openxmlformats.org/officeDocument/2006/relationships/hyperlink" Target="https://dalil.kg/document/76503" TargetMode="External"/><Relationship Id="rIdqyrript5rhpy1vj2jcdh5" Type="http://schemas.openxmlformats.org/officeDocument/2006/relationships/hyperlink" Target="https://dalil.kg/document/203685" TargetMode="External"/><Relationship Id="rIdqpko2sq0gtkbxo2wyx77v" Type="http://schemas.openxmlformats.org/officeDocument/2006/relationships/hyperlink" Target="https://dalil.kg/document/98372#p1" TargetMode="External"/><Relationship Id="rId3wikfvlvgluq6rtdraf1i" Type="http://schemas.openxmlformats.org/officeDocument/2006/relationships/hyperlink" Target="https://dalil.kg/document/990107" TargetMode="External"/><Relationship Id="rId0nkn9q1oka6wxrqqvkmt5" Type="http://schemas.openxmlformats.org/officeDocument/2006/relationships/hyperlink" Target="https://dalil.kg/document/990107"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yrsrmqxrigw20bcc8efv" Type="http://schemas.openxmlformats.org/officeDocument/2006/relationships/hyperlink" Target="https://dalil.kg/document/98372" TargetMode="External"/><Relationship Id="rId8wehjmrs3gqnyjp0axm6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2026-09-24T23:45:22.329Z</dcterms:created>
  <dcterms:modified xsi:type="dcterms:W3CDTF">2026-09-24T23:45:22.329Z</dcterms:modified>
</cp:coreProperties>
</file>

<file path=docProps/custom.xml><?xml version="1.0" encoding="utf-8"?>
<Properties xmlns="http://schemas.openxmlformats.org/officeDocument/2006/custom-properties" xmlns:vt="http://schemas.openxmlformats.org/officeDocument/2006/docPropsVTypes"/>
</file>