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ueg9eqhuxxvn5ekedk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5 февраля 2025 года № 61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2016 года № 262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5p-n9tcqypbbtqfo7y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стабильного, надежного функционирования энергетической отрасли Кыргызской Республики и прозрачности распределения денежных потоков, в соответствии с </w:t>
      </w:r>
      <w:hyperlink w:history="1" r:id="rIdyw48e2y4fjnvn1gyzvp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z-mqvptcr9t8ipjvdm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bi3z6nt8prmv381zg5n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расчетов на оптовом рынке электрической и тепловой энергии" от 25 мая 2002 года № 335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тексту слова "и тепловой"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"Расчетно-сберегательную компанию" заменить словами "открытое акционерное общество "РСК-Банк";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"Расчетно-сберегательной компании" заменить словами "открытому акционерному обществу "РСК-Банк";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5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rubpc0ku5hau4sb-tg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расчетов за электрическую энергию участниками оптового рынка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5wg6q052yl5ed6_b2-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и долевого распределения денежных средств, поступающих в уполномоченный банк от внутренних потребителей электрической энергии, между компаниями, осуществляющими выработку, передачу и распределение электрической энергии, согласно приложению 2.";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smumq3j0fdw-mp8m9q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расчетов за электрическую и тепловую энергию участниками оптового рынка,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тексту слова "и тепловую" в различных падежах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и цифры "Утверждено </w:t>
      </w:r>
      <w:hyperlink w:history="1" r:id="rIdavizxfgu5n4ug7k9fqq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мая 2002 года № 335" заменить словом и цифрой "Приложение 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Уполномоченный банк в соответствии с долевым распределением средств, установленным Государственным агентством по регулированию топливно-энергетического комплекса при Правительстве Кыргызской Республики, осуществляет перечисление денег с транзитного счета на расчетные счета компаний, осуществляющих выработку, передачу и распределение электрической энергии, дважды в день:";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aoqodacn2h5ozxj4nwk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55ko_zvg9ai8vt8iksh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oslhkelsdl__3cugbnt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расчета и долевого распределения денежных средств, поступающих в уполномоченный банк от внутренних потребителей электрической энергии, между компаниями, осуществляющими выработку, передачу и распределение электрической энергии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механизм расчета и долевого распределения денежных средств, поступающих в уполномоченный банк от внутренних потребителей электрической энергии (далее - электроэнергия), компаниями, осуществляющими выработку, передачу и распределение электроэнергии (далее - энергокомпании).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по регулированию топливно-энергетического комплекса осуществляет ежедневный мониторинг поступления в уполномоченный банк денежных средств от внутренних потребителей электроэнергии за потребленную электроэнергию.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по регулированию топливно-энергетического комплекса ежемесячно: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утвержденных технико-экономических показателей определяет: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плановые объемы поступления электроэнергии в сети компании, осуществляющей распределение электроэнергии (далее - РЭК);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товарную продукцию открытого акционерного общества "Электрические станции" (далее - Т</w:t>
      </w:r>
      <w:r>
        <w:rPr>
          <w:rFonts w:ascii="Arial" w:cs="Arial" w:eastAsia="Arial" w:hAnsi="Arial"/>
          <w:sz w:val="24"/>
          <w:szCs w:val="24"/>
        </w:rPr>
        <w:t xml:space="preserve">ЭС</w:t>
      </w:r>
      <w:r>
        <w:rPr>
          <w:rFonts w:ascii="Arial" w:cs="Arial" w:eastAsia="Arial" w:hAnsi="Arial"/>
          <w:sz w:val="24"/>
          <w:szCs w:val="24"/>
        </w:rPr>
        <w:t xml:space="preserve">) - денежные средства, подлежащие перечислению РЭК открытому акционерному обществу "Электрические станции" за поставленную электроэнергию, - путем умножения плановых объемов поступления электроэнергии на тариф на покупку электроэнергии;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товарную продукцию открытого акционерного общества "Национальная электрическая сеть Кыргызстана" (далее - Т</w:t>
      </w:r>
      <w:r>
        <w:rPr>
          <w:rFonts w:ascii="Arial" w:cs="Arial" w:eastAsia="Arial" w:hAnsi="Arial"/>
          <w:sz w:val="24"/>
          <w:szCs w:val="24"/>
        </w:rPr>
        <w:t xml:space="preserve">НЭСК</w:t>
      </w:r>
      <w:r>
        <w:rPr>
          <w:rFonts w:ascii="Arial" w:cs="Arial" w:eastAsia="Arial" w:hAnsi="Arial"/>
          <w:sz w:val="24"/>
          <w:szCs w:val="24"/>
        </w:rPr>
        <w:t xml:space="preserve">) - денежные средства, подлежащие перечислению РЭК открытому акционерному обществу "Национальная электрическая сеть Кыргызстана" за поставленную электроэнергию, - путем умножения плановых объемов поступления электроэнергии на тариф на передачу электроэнергии;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товарную продукцию РЭК (далее - Т</w:t>
      </w:r>
      <w:r>
        <w:rPr>
          <w:rFonts w:ascii="Arial" w:cs="Arial" w:eastAsia="Arial" w:hAnsi="Arial"/>
          <w:sz w:val="24"/>
          <w:szCs w:val="24"/>
        </w:rPr>
        <w:t xml:space="preserve">РЭК</w:t>
      </w:r>
      <w:r>
        <w:rPr>
          <w:rFonts w:ascii="Arial" w:cs="Arial" w:eastAsia="Arial" w:hAnsi="Arial"/>
          <w:sz w:val="24"/>
          <w:szCs w:val="24"/>
        </w:rPr>
        <w:t xml:space="preserve">) - денежные средства, подлежащие перечислению потребителями РЭК за поставленную электроэнергию, - путем умножения плановых объемов поступления электроэнергии на соответствующий тариф на электроэнергию для потребителя;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1 число прошедшего месяца размер дебиторской/кредиторской задолженности за потребленную электроэнергию потребителей для РЭК;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фактических данных об объемах электроэнергии за прошедший месяц: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фактическое поступление денежных средств на долю открытых акционерных обществ "Электрические станции" и "Национальная электрическая сеть Кыргызстана";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размер отклонения между фактической товарной продукцией и фактическим поступлением денежных средств на долю открытого акционерного общества "Электрические станции" (далее - О</w:t>
      </w:r>
      <w:r>
        <w:rPr>
          <w:rFonts w:ascii="Arial" w:cs="Arial" w:eastAsia="Arial" w:hAnsi="Arial"/>
          <w:sz w:val="24"/>
          <w:szCs w:val="24"/>
        </w:rPr>
        <w:t xml:space="preserve">ЭС</w:t>
      </w:r>
      <w:r>
        <w:rPr>
          <w:rFonts w:ascii="Arial" w:cs="Arial" w:eastAsia="Arial" w:hAnsi="Arial"/>
          <w:sz w:val="24"/>
          <w:szCs w:val="24"/>
        </w:rPr>
        <w:t xml:space="preserve">) и открытого акционерного общества "Национальная электрическая сеть Кыргызстана" (далее - О</w:t>
      </w:r>
      <w:r>
        <w:rPr>
          <w:rFonts w:ascii="Arial" w:cs="Arial" w:eastAsia="Arial" w:hAnsi="Arial"/>
          <w:sz w:val="24"/>
          <w:szCs w:val="24"/>
        </w:rPr>
        <w:t xml:space="preserve">НЭСК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данных, указанных в подпунктах 1 и 2 настоящего пункта, устанавливает долевое распределение денежных средств между энергокомпаниями: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открытого акционерного общества "Электрические станции" (далее - Д</w:t>
      </w:r>
      <w:r>
        <w:rPr>
          <w:rFonts w:ascii="Arial" w:cs="Arial" w:eastAsia="Arial" w:hAnsi="Arial"/>
          <w:sz w:val="24"/>
          <w:szCs w:val="24"/>
        </w:rPr>
        <w:t xml:space="preserve">ЭС</w:t>
      </w:r>
      <w:r>
        <w:rPr>
          <w:rFonts w:ascii="Arial" w:cs="Arial" w:eastAsia="Arial" w:hAnsi="Arial"/>
          <w:sz w:val="24"/>
          <w:szCs w:val="24"/>
        </w:rPr>
        <w:t xml:space="preserve">) рассчитывается по формуле: Д</w:t>
      </w:r>
      <w:r>
        <w:rPr>
          <w:rFonts w:ascii="Arial" w:cs="Arial" w:eastAsia="Arial" w:hAnsi="Arial"/>
          <w:sz w:val="24"/>
          <w:szCs w:val="24"/>
        </w:rPr>
        <w:t xml:space="preserve">ЭС </w:t>
      </w:r>
      <w:r>
        <w:rPr>
          <w:rFonts w:ascii="Arial" w:cs="Arial" w:eastAsia="Arial" w:hAnsi="Arial"/>
          <w:sz w:val="24"/>
          <w:szCs w:val="24"/>
        </w:rPr>
        <w:t xml:space="preserve">= Т</w:t>
      </w:r>
      <w:r>
        <w:rPr>
          <w:rFonts w:ascii="Arial" w:cs="Arial" w:eastAsia="Arial" w:hAnsi="Arial"/>
          <w:sz w:val="24"/>
          <w:szCs w:val="24"/>
        </w:rPr>
        <w:t xml:space="preserve">ЭС</w:t>
      </w:r>
      <w:r>
        <w:rPr>
          <w:rFonts w:ascii="Arial" w:cs="Arial" w:eastAsia="Arial" w:hAnsi="Arial"/>
          <w:sz w:val="24"/>
          <w:szCs w:val="24"/>
        </w:rPr>
        <w:t xml:space="preserve"> +/- О</w:t>
      </w:r>
      <w:r>
        <w:rPr>
          <w:rFonts w:ascii="Arial" w:cs="Arial" w:eastAsia="Arial" w:hAnsi="Arial"/>
          <w:sz w:val="24"/>
          <w:szCs w:val="24"/>
        </w:rPr>
        <w:t xml:space="preserve">ЭС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открытого акционерного общества "Национальная электрическая сеть Кыргызстана" (далее - Д</w:t>
      </w:r>
      <w:r>
        <w:rPr>
          <w:rFonts w:ascii="Arial" w:cs="Arial" w:eastAsia="Arial" w:hAnsi="Arial"/>
          <w:sz w:val="24"/>
          <w:szCs w:val="24"/>
        </w:rPr>
        <w:t xml:space="preserve">НЭСК</w:t>
      </w:r>
      <w:r>
        <w:rPr>
          <w:rFonts w:ascii="Arial" w:cs="Arial" w:eastAsia="Arial" w:hAnsi="Arial"/>
          <w:sz w:val="24"/>
          <w:szCs w:val="24"/>
        </w:rPr>
        <w:t xml:space="preserve">) рассчитывается по формуле: Д</w:t>
      </w:r>
      <w:r>
        <w:rPr>
          <w:rFonts w:ascii="Arial" w:cs="Arial" w:eastAsia="Arial" w:hAnsi="Arial"/>
          <w:sz w:val="24"/>
          <w:szCs w:val="24"/>
        </w:rPr>
        <w:t xml:space="preserve">НЭСК</w:t>
      </w:r>
      <w:r>
        <w:rPr>
          <w:rFonts w:ascii="Arial" w:cs="Arial" w:eastAsia="Arial" w:hAnsi="Arial"/>
          <w:sz w:val="24"/>
          <w:szCs w:val="24"/>
        </w:rPr>
        <w:t xml:space="preserve"> = Т</w:t>
      </w:r>
      <w:r>
        <w:rPr>
          <w:rFonts w:ascii="Arial" w:cs="Arial" w:eastAsia="Arial" w:hAnsi="Arial"/>
          <w:sz w:val="24"/>
          <w:szCs w:val="24"/>
        </w:rPr>
        <w:t xml:space="preserve">НЭСК</w:t>
      </w:r>
      <w:r>
        <w:rPr>
          <w:rFonts w:ascii="Arial" w:cs="Arial" w:eastAsia="Arial" w:hAnsi="Arial"/>
          <w:sz w:val="24"/>
          <w:szCs w:val="24"/>
        </w:rPr>
        <w:t xml:space="preserve"> +/- О</w:t>
      </w:r>
      <w:r>
        <w:rPr>
          <w:rFonts w:ascii="Arial" w:cs="Arial" w:eastAsia="Arial" w:hAnsi="Arial"/>
          <w:sz w:val="24"/>
          <w:szCs w:val="24"/>
        </w:rPr>
        <w:t xml:space="preserve">НЭСК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РЭК (далее - Д</w:t>
      </w:r>
      <w:r>
        <w:rPr>
          <w:rFonts w:ascii="Arial" w:cs="Arial" w:eastAsia="Arial" w:hAnsi="Arial"/>
          <w:sz w:val="24"/>
          <w:szCs w:val="24"/>
        </w:rPr>
        <w:t xml:space="preserve">РЭК</w:t>
      </w:r>
      <w:r>
        <w:rPr>
          <w:rFonts w:ascii="Arial" w:cs="Arial" w:eastAsia="Arial" w:hAnsi="Arial"/>
          <w:sz w:val="24"/>
          <w:szCs w:val="24"/>
        </w:rPr>
        <w:t xml:space="preserve">) рассчитывается по формуле: Д</w:t>
      </w:r>
      <w:r>
        <w:rPr>
          <w:rFonts w:ascii="Arial" w:cs="Arial" w:eastAsia="Arial" w:hAnsi="Arial"/>
          <w:sz w:val="24"/>
          <w:szCs w:val="24"/>
        </w:rPr>
        <w:t xml:space="preserve">РЭК</w:t>
      </w:r>
      <w:r>
        <w:rPr>
          <w:rFonts w:ascii="Arial" w:cs="Arial" w:eastAsia="Arial" w:hAnsi="Arial"/>
          <w:sz w:val="24"/>
          <w:szCs w:val="24"/>
        </w:rPr>
        <w:t xml:space="preserve"> = Т</w:t>
      </w:r>
      <w:r>
        <w:rPr>
          <w:rFonts w:ascii="Arial" w:cs="Arial" w:eastAsia="Arial" w:hAnsi="Arial"/>
          <w:sz w:val="24"/>
          <w:szCs w:val="24"/>
        </w:rPr>
        <w:t xml:space="preserve">РЭК</w:t>
      </w:r>
      <w:r>
        <w:rPr>
          <w:rFonts w:ascii="Arial" w:cs="Arial" w:eastAsia="Arial" w:hAnsi="Arial"/>
          <w:sz w:val="24"/>
          <w:szCs w:val="24"/>
        </w:rPr>
        <w:t xml:space="preserve"> - Д</w:t>
      </w:r>
      <w:r>
        <w:rPr>
          <w:rFonts w:ascii="Arial" w:cs="Arial" w:eastAsia="Arial" w:hAnsi="Arial"/>
          <w:sz w:val="24"/>
          <w:szCs w:val="24"/>
        </w:rPr>
        <w:t xml:space="preserve">ЭС</w:t>
      </w:r>
      <w:r>
        <w:rPr>
          <w:rFonts w:ascii="Arial" w:cs="Arial" w:eastAsia="Arial" w:hAnsi="Arial"/>
          <w:sz w:val="24"/>
          <w:szCs w:val="24"/>
        </w:rPr>
        <w:t xml:space="preserve"> - Д</w:t>
      </w:r>
      <w:r>
        <w:rPr>
          <w:rFonts w:ascii="Arial" w:cs="Arial" w:eastAsia="Arial" w:hAnsi="Arial"/>
          <w:sz w:val="24"/>
          <w:szCs w:val="24"/>
        </w:rPr>
        <w:t xml:space="preserve">НЭСК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Ежедневное перечисление денежных средств на транзитные счета энергокомпаний определяется исходя из рассчитанной доли каждой компании в процентном отношении к месячному плану Т</w:t>
      </w:r>
      <w:r>
        <w:rPr>
          <w:rFonts w:ascii="Arial" w:cs="Arial" w:eastAsia="Arial" w:hAnsi="Arial"/>
          <w:sz w:val="24"/>
          <w:szCs w:val="24"/>
        </w:rPr>
        <w:t xml:space="preserve">РЭК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по регулированию топливно-энергетического комплекса ежемесячно издает приказ о долевом распределении денежных средств между энергокомпаниями и до 10 числа направляет в уполномоченный банк для ежедневного перечисления денежных средств с транзитного счета на расчетные счета вышеуказанных компаний.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Приказ о долевом распределении денежных средств издается на основании следующих источников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утвержденные технико-экономические показатели энергокомпаний;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ежемесячные отчетные данные энергокомпаний и данные открытого акционерного общества "Кыргызский энергетический расчетный центр" (далее - КЭРЦ);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уполномоченного банка о фактическом поступлении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приказе о долевом распределении денежных средств отражаются: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 распределения денежных средств между энергокомпаниями;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плановые показатели сбора денежных средств для РЭК;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денежных средств для каждой энергокомпании.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Копии приказа о долевом распределении денежных средств направляются также в КЭРЦ и в энергокомпании.".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ueg9eqhuxxvn5ekedkux" Type="http://schemas.openxmlformats.org/officeDocument/2006/relationships/hyperlink" Target="http://kodeks.duckdns.org/document/230021904" TargetMode="External"/><Relationship Id="rId75p-n9tcqypbbtqfo7ywa" Type="http://schemas.openxmlformats.org/officeDocument/2006/relationships/hyperlink" Target="http://kodeks.duckdns.org/document/158097" TargetMode="External"/><Relationship Id="rIdyw48e2y4fjnvn1gyzvpru" Type="http://schemas.openxmlformats.org/officeDocument/2006/relationships/hyperlink" Target="http://kodeks.duckdns.org/document/663" TargetMode="External"/><Relationship Id="rIdsz-mqvptcr9t8ipjvdmav" Type="http://schemas.openxmlformats.org/officeDocument/2006/relationships/hyperlink" Target="http://kodeks.duckdns.org/document/203685" TargetMode="External"/><Relationship Id="rIdbi3z6nt8prmv381zg5nmb" Type="http://schemas.openxmlformats.org/officeDocument/2006/relationships/hyperlink" Target="http://kodeks.duckdns.org/document/53495" TargetMode="External"/><Relationship Id="rIdprubpc0ku5hau4sb-tgqr" Type="http://schemas.openxmlformats.org/officeDocument/2006/relationships/hyperlink" Target="http://kodeks.duckdns.org/document/53485" TargetMode="External"/><Relationship Id="rIds5wg6q052yl5ed6_b2-ea" Type="http://schemas.openxmlformats.org/officeDocument/2006/relationships/hyperlink" Target="http://kodeks.duckdns.org/document/98462" TargetMode="External"/><Relationship Id="rIddsmumq3j0fdw-mp8m9qnk" Type="http://schemas.openxmlformats.org/officeDocument/2006/relationships/hyperlink" Target="http://kodeks.duckdns.org/document/53485" TargetMode="External"/><Relationship Id="rIdavizxfgu5n4ug7k9fqqxd" Type="http://schemas.openxmlformats.org/officeDocument/2006/relationships/hyperlink" Target="http://kodeks.duckdns.org/document/53495" TargetMode="External"/><Relationship Id="rIdaoqodacn2h5ozxj4nwkzt" Type="http://schemas.openxmlformats.org/officeDocument/2006/relationships/hyperlink" Target="http://kodeks.duckdns.org/document/98462" TargetMode="External"/><Relationship Id="rId55ko_zvg9ai8vt8iksheu" Type="http://schemas.openxmlformats.org/officeDocument/2006/relationships/hyperlink" Target="http://kodeks.duckdns.org/document/98462#p1" TargetMode="External"/><Relationship Id="rIdoslhkelsdl__3cugbntkx" Type="http://schemas.openxmlformats.org/officeDocument/2006/relationships/hyperlink" Target="http://kodeks.duckdns.org/document/158097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2026-09-23T02:55:40.927Z</dcterms:created>
  <dcterms:modified xsi:type="dcterms:W3CDTF">2026-09-23T02:55:40.927Z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