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легализации самовольно построенных домостроений"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y6lojjtq7upye7ohwr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ndcx6ochlmbemfecbi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легализации самовольно построенных домостроений", инициированный депутатом Жогорку Кенеша Кыргызской Республики Ч.А.Турсунбековым.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23 июня 2016 года № 352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легализации самовольно построенных домостроений"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c7ewk_3fzzozndxii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легализации самовольно построенных домостроений", инициированный депутатом Жогорку Кенеша Кыргызской Республики Ч.А.Турсунбековым,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Представленный проект Закона направлен на регулирование вопроса проведения разовой акции по легализации самовольно построенных домостроений, возведенных до 3 августа 2012 года на территориях новостроек городов Бишкек и Ош, и устанавливает порядок их легализации.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законодательством Кыргызской Республики не предусмотрено понятие "разовая акция", ввиду чего необходимо в рассматриваемом проекте Закона раскрыть и дать четкое определение указанному понятию в целях точного применения его на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к проекту Закона отсутствует информация, аргументирующая причины и критерии определения вышеуказанной даты застройки (до 3 августа 2012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части 1 статьи 1 проекта Закона под самовольной постройкой домостроения понимают жилое домостроение или иные объекты недвижимости, построенные на земельном участке, не отведенном для этих целей, а также построенные без получения на это необходимых разрешений,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</w:t>
      </w:r>
      <w:r>
        <w:rPr>
          <w:rFonts w:ascii="Arial" w:cs="Arial" w:eastAsia="Arial" w:hAnsi="Arial"/>
          <w:sz w:val="24"/>
          <w:szCs w:val="24"/>
        </w:rPr>
        <w:t xml:space="preserve">статьей 454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за строительство объектов и изменение существующих объектов недвижимости без получения разрешения в порядке, предусмотренном законодательством Кыргызской Республики, предусматривается административная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части 5 </w:t>
      </w:r>
      <w:r>
        <w:rPr>
          <w:rFonts w:ascii="Arial" w:cs="Arial" w:eastAsia="Arial" w:hAnsi="Arial"/>
          <w:sz w:val="24"/>
          <w:szCs w:val="24"/>
        </w:rPr>
        <w:t xml:space="preserve">статьи 254-1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ulruipg9hi-l-8qpig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собственности на самовольную постройку не может быть признано за лицами, если сохранение постройки повлечет нарушение прав и охраняемых законом интересов других лиц либо будет создавать угрозу жизни и здоровью. В этой связи предлагаем дополнить статью 2 указанного законопроекта частью третьей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Настоящий Закон не распространяется на категорию владельцев самовольно построенных домостроений, если они нарушают законные интересы других лиц.".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3 статьи 3 проекта Закона предлагается провести на бесплатной основе техническое обследование единиц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обследования единиц недвижимого имущества,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2009 года № 388, техническое обследование единиц недвижимого имущества осуществляют местные регистрационные органы по месту нахождения единицы недвижимого имущества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местные регистрационные органы осуществляют свою деятельность на принципах самофинансирования, считаем целесообразным исключить из части 3 статьи 3 проекта Закона слово "бесплатно".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Отмечаем, что положения абзаца второго части 1 статьи 4 проекта Закона носят коррупционный характер и нечетко сформулированы, тем самым предоставляет субъекту дискреционные полномочия по своему усмотрению толковать ту или иную ситуацию, в связи с чем в абзаце втором части 1 статьи 4 слово "могут"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6 части 1 статьи 4 законопроекта обозначено наименование органа (департамент индивидуального жилищного строительства мэрии), руководитель которого может входить в состав Комиссии по проведению легализации самовольно простроенных домостроений.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учитывая, что наименования подведомственных и других подразделений мэрии городов Бишкек и Ош могут не совпадать, предлагаем редакцию пункта 6 части 1 статьи 4 законопроекта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статьям 4 и 5 законопроекта отмечаем, что вопросы подготовки документов, порядок деятельности Комиссии должны регламентироваться соответствующими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Принимая во внимание, что в основу инфраструктуры входит электроснабжение, предлагаем часть 1 статьи 4 дополнить пунктом "11"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представитель электроснабжающей организации.".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Статьей 7 проекта Закона предусмотрено, что земля под фундаментом и прилегающие земли к объектам недвижимости остаются в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</w:t>
      </w:r>
      <w:r>
        <w:rPr>
          <w:rFonts w:ascii="Arial" w:cs="Arial" w:eastAsia="Arial" w:hAnsi="Arial"/>
          <w:sz w:val="24"/>
          <w:szCs w:val="24"/>
        </w:rPr>
        <w:t xml:space="preserve">статье 44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r2qggzmddtq7cdegjt8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здание и сооружение неотделимы от права на земельный участок, закрепленный за этим зданием и сооружением.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целесообразным статью 7 проекта Закона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aazh-ctgtecnuyeyr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случаях,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информация о нормативных правовых актах, подлежащих пересмотру в случае принятия рассматриваемого проекта Закона, а также статистические данные о самовольно построенных домостроениях в городе Ош, не отражены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Необходимо отметить, что в случае легализации самовольно построенных домостроений, возможно, в будущем потребуется необходимость создания инфраструктуры (электрификация, канализация, дороги, школы и т.п.), что в последующем повлечет финансовую нагрузку на республиканский и местные бюджеты.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pgsiqvha02t5xu0gp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справка-обоснование проекта нормативного правового акта должна содержать, в том числе, информацию об источниках финансирования. В то же время необходимо отметить, что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 финансовые средства на указанные мероприятия не предусмотрены.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застройка земельных участков жилыми индивидуальными домами на территории городов Бишкек и Ош производилась без соответствующих решений Правительства Кыргызской Республики о переводе (трансформации) этих земель в категорию земель населенных пунктов, что является грубейшим нарушением действующего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земельные участки до застройки индивидуальными жилыми домами должны были быть переведены в соответствующую категорию в порядке, установленном законодательством Кыргызской Республики. Так,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перевод земель из одной категории в другую производится в случае изменения основного целевого назначения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разработка градостроительной документации по разработке генеральных планов застройки осуществляется на основании решения Правительства Кыргызской Республики о переводе (трансформации) земель из одной категории в другую.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действия лиц, застроивших и допустивших застройку на земельных участках, являются незаконными, поскольку </w:t>
      </w:r>
      <w:r>
        <w:rPr>
          <w:rFonts w:ascii="Arial" w:cs="Arial" w:eastAsia="Arial" w:hAnsi="Arial"/>
          <w:sz w:val="24"/>
          <w:szCs w:val="24"/>
        </w:rPr>
        <w:t xml:space="preserve">статьей 120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t8srgu3jo5bzxkfiesv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предусмотрено, что должностные лица, собственники земельных участков и землепользователи несут установленную законодательством Кыргызской Республики гражданскую, административную и уголовную ответственность за нарушение земельного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вопрос ответственности лиц, нарушивших земельное законодательство, остается открытым.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Кроме того, согласно </w:t>
      </w:r>
      <w:r>
        <w:rPr>
          <w:rFonts w:ascii="Arial" w:cs="Arial" w:eastAsia="Arial" w:hAnsi="Arial"/>
          <w:sz w:val="24"/>
          <w:szCs w:val="24"/>
        </w:rPr>
        <w:t xml:space="preserve">статье 1-1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 Закон устанавливает правовые нормы в области охраны и использования объектов историко-культурного наследия на территории Кыргызской Республики, представляющих собой уникальную ценность для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обязателен для всех юридических и физических лиц, определяет их права и обязанности в области охраны и использования объектов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организации, ведущие строительные, дорожные работы или освоение целинных земель, разработку карьеров или возведение плотин, ведущих к затоплению или существенному изменению ландшафта, на стадии инженерно-изыскательных работ и при переводе (трансформации) земель обязаны проводить археологическое обследование на наличие или отсутствие объектов историко-культурного наследия на отчуждаемой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археологическом обследовании подлежит согласованию с уполномоченным государственным органом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целесообразным доработать проект Закона с учетом 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_n9gurgqgdjr_f4sh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dalil.kg/document/98521</w:t>
      </w:r>
    </w:hyperlink>
  </w:p>
  <w:p>
    <w:pPr>
      <w:spacing w:after="0" w:before="40"/>
      <w:jc w:val="center"/>
    </w:pPr>
    <w:hyperlink w:history="1" r:id="rId-_miqnvdcqcmacwmg7x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6lojjtq7upye7ohwrc6" Type="http://schemas.openxmlformats.org/officeDocument/2006/relationships/hyperlink" Target="https://dalil.kg/document/203685" TargetMode="External"/><Relationship Id="rIdzndcx6ochlmbemfecbi3o" Type="http://schemas.openxmlformats.org/officeDocument/2006/relationships/hyperlink" Target="https://dalil.kg/document/98521#p1" TargetMode="External"/><Relationship Id="rIdsc7ewk_3fzzozndxiiigy" Type="http://schemas.openxmlformats.org/officeDocument/2006/relationships/hyperlink" Target="https://dalil.kg/document/203685" TargetMode="External"/><Relationship Id="rIdulruipg9hi-l-8qpigcdx" Type="http://schemas.openxmlformats.org/officeDocument/2006/relationships/hyperlink" Target="https://dalil.kg/document/4" TargetMode="External"/><Relationship Id="rIdr2qggzmddtq7cdegjt8fp" Type="http://schemas.openxmlformats.org/officeDocument/2006/relationships/hyperlink" Target="https://dalil.kg/document/8" TargetMode="External"/><Relationship Id="rIdupaazh-ctgtecnuyeyr-f" Type="http://schemas.openxmlformats.org/officeDocument/2006/relationships/hyperlink" Target="https://dalil.kg/document/202591" TargetMode="External"/><Relationship Id="rIdlpgsiqvha02t5xu0gpupz" Type="http://schemas.openxmlformats.org/officeDocument/2006/relationships/hyperlink" Target="https://dalil.kg/document/202591" TargetMode="External"/><Relationship Id="rIdt8srgu3jo5bzxkfiesv8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_n9gurgqgdjr_f4sh-b" Type="http://schemas.openxmlformats.org/officeDocument/2006/relationships/hyperlink" Target="https://dalil.kg/document/98521" TargetMode="External"/><Relationship Id="rId-_miqnvdcqcmacwmg7x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2026-10-05T12:06:36.843Z</dcterms:created>
  <dcterms:modified xsi:type="dcterms:W3CDTF">2026-10-05T12:06:36.843Z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