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20 июня 2016 года № 344</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"Об электроэнергетике"</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mds-cz30ahrg2brgawj5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snz_y7lp3d9rrjzcxvo1i">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"Об электроэнергетике", инициированный депутатами Жогорку Кенеша Кыргызской Республики О.Ч.Текебаевым, Ч.А.Турсунбековым, К.К.Исаевым, О.М.Артыкбаевым, А.У.Жапаровым, К.М.Жумалиевым, А.А.Шадиевым, К.Дж.Рыспаевым.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20 июня 2016 года № 344</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"Об электроэнергетике"</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"Об электроэнергетике", инициированный депутатами Жогорку Кенеша Кыргызской Республики О.Ч.Текебаевым, Ч.А.Турсунбековым, К.К.Исаевым, О.М.Артыкбаевым, А.У.Жапаровым, К.М.Жумалиевым, А.А.Шадиевым, К.Дж.Рыспаевым, приходит к следующему заключению.</w:t>
      </w:r>
    </w:p>
    <w:p>
      <w:pPr>
        <w:spacing w:after="60"/>
        <w:ind w:firstLine="567"/>
        <w:jc w:val="both"/>
      </w:pPr>
      <w:r>
        <w:rPr>
          <w:rFonts w:ascii="Arial" w:cs="Arial" w:eastAsia="Arial" w:hAnsi="Arial"/>
          <w:sz w:val="24"/>
          <w:szCs w:val="24"/>
        </w:rPr>
        <w:t xml:space="preserve">1. Необходимо отметить, что представленный проект Закона в отдельной части дублирует положения проекта Закона Кыргызской Республики "Об электроэнергетике", инициированного ранее депутатом Жогорку Кенеша Кыргызской Республики О.Ч.Текебаевым, на который Правительством Кыргызской Республики давалось официальное заключение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5 марта 2015 года № 99).</w:t>
      </w:r>
    </w:p>
    <w:p>
      <w:pPr>
        <w:spacing w:after="60"/>
        <w:ind w:firstLine="567"/>
        <w:jc w:val="both"/>
      </w:pPr>
      <w:r>
        <w:rPr>
          <w:rFonts w:ascii="Arial" w:cs="Arial" w:eastAsia="Arial" w:hAnsi="Arial"/>
          <w:sz w:val="24"/>
          <w:szCs w:val="24"/>
        </w:rPr>
        <w:t xml:space="preserve">При этом анализ положений представленного проекта Закона, который, по всей видимости, основан на ранее рассмотренном проекте Закона, выявил, что при его доработке не все замечания и предложения Правительства Кыргызской Республики, изложенные в вышеуказанном официальном заключении, которые также являются актуальными в отношении представленного проекта Закона, были учтены.</w:t>
      </w:r>
    </w:p>
    <w:p>
      <w:pPr>
        <w:spacing w:after="60"/>
        <w:ind w:firstLine="567"/>
        <w:jc w:val="both"/>
      </w:pPr>
      <w:r>
        <w:rPr>
          <w:rFonts w:ascii="Arial" w:cs="Arial" w:eastAsia="Arial" w:hAnsi="Arial"/>
          <w:sz w:val="24"/>
          <w:szCs w:val="24"/>
        </w:rPr>
        <w:t xml:space="preserve">2. Представленный проект Закона направлен на регулирование вопросов как в сфере электрической энергии, так и в сфере топливно-энергетического комплекса и тепловой энергии. Вместе с тем, отдельные положения проекта Закона касаются исключительно вопросов электроэнергии, в то время, как они должны распространяться, в том числе, и на тепловую энергию. Например, в статье 3 проекта Закона определения, раскрывающие термины "бытовой абонент" и "конечный потребитель".</w:t>
      </w:r>
    </w:p>
    <w:p>
      <w:pPr>
        <w:spacing w:after="60"/>
        <w:ind w:firstLine="567"/>
        <w:jc w:val="both"/>
      </w:pPr>
      <w:r>
        <w:rPr>
          <w:rFonts w:ascii="Arial" w:cs="Arial" w:eastAsia="Arial" w:hAnsi="Arial"/>
          <w:sz w:val="24"/>
          <w:szCs w:val="24"/>
        </w:rPr>
        <w:t xml:space="preserve">3. Согласно статье 1 проекта Закона названный Закон будет определять основные полномочия государственных органов по выработке политики и регулированию отношений в сфере электроэнергетики. В связи с этим в статье 3 проекта Закона раскрываются понятия соответствующих уполномоченных государственных органов. В статье 7 проекта Закона регламентируются вопросы разделения функций государственных органов. В статье 8 проекта Закона определяются основные направления деятельности государственных органов в области политики, регулирования, контроля и надзора в электроэнергетике. В статье 11 проекта Закона раскрываются полномочия регулирующего органа. Компетенция названных государственных органов раскрывается и в иных статьях проекта Закона. При этом указанные статьи содержат дублирующие положения, в то время как согласно части 1 </w:t>
      </w:r>
      <w:r>
        <w:rPr>
          <w:rFonts w:ascii="Arial" w:cs="Arial" w:eastAsia="Arial" w:hAnsi="Arial"/>
          <w:sz w:val="24"/>
          <w:szCs w:val="24"/>
        </w:rPr>
        <w:t xml:space="preserve">статьи 11</w:t>
      </w:r>
      <w:r>
        <w:rPr>
          <w:rFonts w:ascii="Arial" w:cs="Arial" w:eastAsia="Arial" w:hAnsi="Arial"/>
          <w:sz w:val="24"/>
          <w:szCs w:val="24"/>
        </w:rPr>
        <w:t xml:space="preserve"> </w:t>
      </w:r>
      <w:hyperlink w:history="1" r:id="rIdl95tc-c1hnpizmtuhxms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текст статьи (пункта) не излагается повторно в других статьях (пунктах).</w:t>
      </w:r>
    </w:p>
    <w:p>
      <w:pPr>
        <w:spacing w:after="60"/>
        <w:ind w:firstLine="567"/>
        <w:jc w:val="both"/>
      </w:pPr>
      <w:r>
        <w:rPr>
          <w:rFonts w:ascii="Arial" w:cs="Arial" w:eastAsia="Arial" w:hAnsi="Arial"/>
          <w:sz w:val="24"/>
          <w:szCs w:val="24"/>
        </w:rPr>
        <w:t xml:space="preserve">Вместе с тем следует отметить, что закрепление на законодательном уровне каких-либо норм, касающихся деятельности, полномочий и функций органов исполнительной власти, подчиненных Правительству Кыргызской Республики, противоречит </w:t>
      </w:r>
      <w:r>
        <w:rPr>
          <w:rFonts w:ascii="Arial" w:cs="Arial" w:eastAsia="Arial" w:hAnsi="Arial"/>
          <w:sz w:val="24"/>
          <w:szCs w:val="24"/>
        </w:rPr>
        <w:t xml:space="preserve">статье 87</w:t>
      </w:r>
      <w:r>
        <w:rPr>
          <w:rFonts w:ascii="Arial" w:cs="Arial" w:eastAsia="Arial" w:hAnsi="Arial"/>
          <w:sz w:val="24"/>
          <w:szCs w:val="24"/>
        </w:rPr>
        <w:t xml:space="preserve"> Гражданского </w:t>
      </w:r>
      <w:hyperlink w:history="1" r:id="rIdmyphnaqfc-z7g6_eru2l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статьям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11</w:t>
      </w:r>
      <w:r>
        <w:rPr>
          <w:rFonts w:ascii="Arial" w:cs="Arial" w:eastAsia="Arial" w:hAnsi="Arial"/>
          <w:sz w:val="24"/>
          <w:szCs w:val="24"/>
        </w:rPr>
        <w:t xml:space="preserve"> конституционного </w:t>
      </w:r>
      <w:hyperlink w:history="1" r:id="rIdnidjgiczumeffyyplsij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60"/>
        <w:ind w:firstLine="567"/>
        <w:jc w:val="both"/>
      </w:pPr>
      <w:r>
        <w:rPr>
          <w:rFonts w:ascii="Arial" w:cs="Arial" w:eastAsia="Arial" w:hAnsi="Arial"/>
          <w:sz w:val="24"/>
          <w:szCs w:val="24"/>
        </w:rPr>
        <w:t xml:space="preserve">Так, в соответствии со </w:t>
      </w:r>
      <w:r>
        <w:rPr>
          <w:rFonts w:ascii="Arial" w:cs="Arial" w:eastAsia="Arial" w:hAnsi="Arial"/>
          <w:sz w:val="24"/>
          <w:szCs w:val="24"/>
        </w:rPr>
        <w:t xml:space="preserve">статьей 11</w:t>
      </w:r>
      <w:r>
        <w:rPr>
          <w:rFonts w:ascii="Arial" w:cs="Arial" w:eastAsia="Arial" w:hAnsi="Arial"/>
          <w:sz w:val="24"/>
          <w:szCs w:val="24"/>
        </w:rPr>
        <w:t xml:space="preserve"> обозначенного конституционного Закона Правительство Кыргызской Республики, исходя из полномочий, указанных в названном конституционном Законе,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а также утверждает положения о названных государственных органах.</w:t>
      </w:r>
    </w:p>
    <w:p>
      <w:pPr>
        <w:spacing w:after="60"/>
        <w:ind w:firstLine="567"/>
        <w:jc w:val="both"/>
      </w:pPr>
      <w:r>
        <w:rPr>
          <w:rFonts w:ascii="Arial" w:cs="Arial" w:eastAsia="Arial" w:hAnsi="Arial"/>
          <w:sz w:val="24"/>
          <w:szCs w:val="24"/>
        </w:rPr>
        <w:t xml:space="preserve">Указанные полномочия Правительства Кыргызской Республики непосредственно базируются на </w:t>
      </w:r>
      <w:r>
        <w:rPr>
          <w:rFonts w:ascii="Arial" w:cs="Arial" w:eastAsia="Arial" w:hAnsi="Arial"/>
          <w:sz w:val="24"/>
          <w:szCs w:val="24"/>
        </w:rPr>
        <w:t xml:space="preserve">статье 90</w:t>
      </w:r>
      <w:r>
        <w:rPr>
          <w:rFonts w:ascii="Arial" w:cs="Arial" w:eastAsia="Arial" w:hAnsi="Arial"/>
          <w:sz w:val="24"/>
          <w:szCs w:val="24"/>
        </w:rPr>
        <w:t xml:space="preserve"> </w:t>
      </w:r>
      <w:hyperlink w:history="1" r:id="rId-bd4vnon_uqu42ij1gic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соответствии с которой Правительство руководит деятельностью министерств, государственных комитетов, административных ведомств, органов местной государственной администрации, и </w:t>
      </w:r>
      <w:r>
        <w:rPr>
          <w:rFonts w:ascii="Arial" w:cs="Arial" w:eastAsia="Arial" w:hAnsi="Arial"/>
          <w:sz w:val="24"/>
          <w:szCs w:val="24"/>
        </w:rPr>
        <w:t xml:space="preserve">статье 83</w:t>
      </w:r>
      <w:r>
        <w:rPr>
          <w:rFonts w:ascii="Arial" w:cs="Arial" w:eastAsia="Arial" w:hAnsi="Arial"/>
          <w:sz w:val="24"/>
          <w:szCs w:val="24"/>
        </w:rPr>
        <w:t xml:space="preserve"> </w:t>
      </w:r>
      <w:hyperlink w:history="1" r:id="rIdlgpgvtxeziil2ilyyta8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определяющей, что министерства, государственные комитеты, административные ведомства и местные государственные администрации функционируют в подчинении Правительства.</w:t>
      </w:r>
    </w:p>
    <w:p>
      <w:pPr>
        <w:spacing w:after="60"/>
        <w:ind w:firstLine="567"/>
        <w:jc w:val="both"/>
      </w:pPr>
      <w:r>
        <w:rPr>
          <w:rFonts w:ascii="Arial" w:cs="Arial" w:eastAsia="Arial" w:hAnsi="Arial"/>
          <w:sz w:val="24"/>
          <w:szCs w:val="24"/>
        </w:rPr>
        <w:t xml:space="preserve">На основании вышеизложенного предлагаем исключить из проекта Закона положения, регламентирующие правовой статус, полномочия и компетенцию министерств и административных ведомств, и, в случае необходимости, трансформировать их в нормативные предписания. Также предлагаем определить компетенцию Правительства Кыргызской Республики в сфере электроэнергетики и указать, что Правительство Кыргызской Республики распределяет названные полномочия между государственными органами.</w:t>
      </w:r>
    </w:p>
    <w:p>
      <w:pPr>
        <w:spacing w:after="60"/>
        <w:ind w:firstLine="567"/>
        <w:jc w:val="both"/>
      </w:pPr>
      <w:r>
        <w:rPr>
          <w:rFonts w:ascii="Arial" w:cs="Arial" w:eastAsia="Arial" w:hAnsi="Arial"/>
          <w:sz w:val="24"/>
          <w:szCs w:val="24"/>
        </w:rPr>
        <w:t xml:space="preserve">В случае неучтения указанного предложения, при доработке соответствующих положений проекта предлагаем обратить внимание на логическое изложение положений статьи 8 проекта Закона, а также, учитывая, что антимонопольное регулирование осуществляется в соответствии с антимонопольным законодательством, предлагаем часть 4 статьи 7 проекта Закона исключить.</w:t>
      </w:r>
    </w:p>
    <w:p>
      <w:pPr>
        <w:spacing w:after="60"/>
        <w:ind w:firstLine="567"/>
        <w:jc w:val="both"/>
      </w:pPr>
      <w:r>
        <w:rPr>
          <w:rFonts w:ascii="Arial" w:cs="Arial" w:eastAsia="Arial" w:hAnsi="Arial"/>
          <w:sz w:val="24"/>
          <w:szCs w:val="24"/>
        </w:rPr>
        <w:t xml:space="preserve">4. Кроме того, по статье 8 проекта Закона отмечаем, что перечень государственных органов и должностных лиц, имеющих право принимать (издавать) нормативные правовые акты, определен </w:t>
      </w:r>
      <w:r>
        <w:rPr>
          <w:rFonts w:ascii="Arial" w:cs="Arial" w:eastAsia="Arial" w:hAnsi="Arial"/>
          <w:sz w:val="24"/>
          <w:szCs w:val="24"/>
        </w:rPr>
        <w:t xml:space="preserve">статьей 5</w:t>
      </w:r>
      <w:r>
        <w:rPr>
          <w:rFonts w:ascii="Arial" w:cs="Arial" w:eastAsia="Arial" w:hAnsi="Arial"/>
          <w:sz w:val="24"/>
          <w:szCs w:val="24"/>
        </w:rPr>
        <w:t xml:space="preserve"> </w:t>
      </w:r>
      <w:hyperlink w:history="1" r:id="rIdrwfi30scxntl46cuvoxq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Министерства и административные ведомства в указанный перечень не включены, в связи с чем они не в праве принимать нормативные правовые акты. В то же время, в рамках </w:t>
      </w:r>
      <w:r>
        <w:rPr>
          <w:rFonts w:ascii="Arial" w:cs="Arial" w:eastAsia="Arial" w:hAnsi="Arial"/>
          <w:sz w:val="24"/>
          <w:szCs w:val="24"/>
        </w:rPr>
        <w:t xml:space="preserve">статьи 8</w:t>
      </w:r>
      <w:r>
        <w:rPr>
          <w:rFonts w:ascii="Arial" w:cs="Arial" w:eastAsia="Arial" w:hAnsi="Arial"/>
          <w:sz w:val="24"/>
          <w:szCs w:val="24"/>
        </w:rPr>
        <w:t xml:space="preserve"> названного Закона нормотворческие органы вправе делегировать свои нормотворческие полномочия соответствующим государственным органам и органам местного самоуправления по вопросам их ведения.</w:t>
      </w:r>
    </w:p>
    <w:p>
      <w:pPr>
        <w:spacing w:after="60"/>
        <w:ind w:firstLine="567"/>
        <w:jc w:val="both"/>
      </w:pPr>
      <w:r>
        <w:rPr>
          <w:rFonts w:ascii="Arial" w:cs="Arial" w:eastAsia="Arial" w:hAnsi="Arial"/>
          <w:sz w:val="24"/>
          <w:szCs w:val="24"/>
        </w:rPr>
        <w:t xml:space="preserve">С учетом изложенного предлагаем пересмотреть положения статей 8 и 76 проекта Закона.</w:t>
      </w:r>
    </w:p>
    <w:p>
      <w:pPr>
        <w:spacing w:after="60"/>
        <w:ind w:firstLine="567"/>
        <w:jc w:val="both"/>
      </w:pPr>
      <w:r>
        <w:rPr>
          <w:rFonts w:ascii="Arial" w:cs="Arial" w:eastAsia="Arial" w:hAnsi="Arial"/>
          <w:sz w:val="24"/>
          <w:szCs w:val="24"/>
        </w:rPr>
        <w:t xml:space="preserve">5. Часть 2 статьи 2 проект Закона, раскрывающая цели Закона, выходит за предмет регулирования названной статьи, так как, исходя из ее наименования, в указанной статье должно определяться законодательство Кыргызской Республики в области электроэнергетики. Аналогичное замечание по части 3 статьи 5 проекта Закона. В этой связи предлагаем часть 2 статьи 2 проекта Закона оформить в качестве самостоятельной статьи проекта, а часть 3 статьи 5 проекта Закона перенести в статью 2 проекта, поскольку они имеют схожий предмет регулирования.</w:t>
      </w:r>
    </w:p>
    <w:p>
      <w:pPr>
        <w:spacing w:after="60"/>
        <w:ind w:firstLine="567"/>
        <w:jc w:val="both"/>
      </w:pPr>
      <w:r>
        <w:rPr>
          <w:rFonts w:ascii="Arial" w:cs="Arial" w:eastAsia="Arial" w:hAnsi="Arial"/>
          <w:sz w:val="24"/>
          <w:szCs w:val="24"/>
        </w:rPr>
        <w:t xml:space="preserve">6. По статье 3 проекта Закона.</w:t>
      </w:r>
    </w:p>
    <w:p>
      <w:pPr>
        <w:spacing w:after="60"/>
        <w:ind w:firstLine="567"/>
        <w:jc w:val="both"/>
      </w:pPr>
      <w:r>
        <w:rPr>
          <w:rFonts w:ascii="Arial" w:cs="Arial" w:eastAsia="Arial" w:hAnsi="Arial"/>
          <w:sz w:val="24"/>
          <w:szCs w:val="24"/>
        </w:rPr>
        <w:t xml:space="preserve">В абзаце втором слова "авария в электроэнергетике" предлагаем заменить словом "авария".</w:t>
      </w:r>
    </w:p>
    <w:p>
      <w:pPr>
        <w:spacing w:after="60"/>
        <w:ind w:firstLine="567"/>
        <w:jc w:val="both"/>
      </w:pPr>
      <w:r>
        <w:rPr>
          <w:rFonts w:ascii="Arial" w:cs="Arial" w:eastAsia="Arial" w:hAnsi="Arial"/>
          <w:sz w:val="24"/>
          <w:szCs w:val="24"/>
        </w:rPr>
        <w:t xml:space="preserve">В целях уточнения смысловой нагрузки используемых в проекте Закона терминов предлагаем:</w:t>
      </w:r>
    </w:p>
    <w:p>
      <w:pPr>
        <w:spacing w:after="60"/>
        <w:ind w:firstLine="567"/>
        <w:jc w:val="both"/>
      </w:pPr>
      <w:r>
        <w:rPr>
          <w:rFonts w:ascii="Arial" w:cs="Arial" w:eastAsia="Arial" w:hAnsi="Arial"/>
          <w:sz w:val="24"/>
          <w:szCs w:val="24"/>
        </w:rPr>
        <w:t xml:space="preserve">- абзац четырнадцатый изложить в следующей редакции:</w:t>
      </w:r>
    </w:p>
    <w:p>
      <w:pPr>
        <w:spacing w:after="60"/>
        <w:ind w:firstLine="567"/>
        <w:jc w:val="both"/>
      </w:pPr>
      <w:r>
        <w:rPr>
          <w:rFonts w:ascii="Arial" w:cs="Arial" w:eastAsia="Arial" w:hAnsi="Arial"/>
          <w:sz w:val="24"/>
          <w:szCs w:val="24"/>
        </w:rPr>
        <w:t xml:space="preserve">"национальная электрическая сеть - совокупность линий электропередачи, подстанций и распределительных устройств напряжением 110 кВ и выше;";</w:t>
      </w:r>
    </w:p>
    <w:p>
      <w:pPr>
        <w:spacing w:after="60"/>
        <w:ind w:firstLine="567"/>
        <w:jc w:val="both"/>
      </w:pPr>
      <w:r>
        <w:rPr>
          <w:rFonts w:ascii="Arial" w:cs="Arial" w:eastAsia="Arial" w:hAnsi="Arial"/>
          <w:sz w:val="24"/>
          <w:szCs w:val="24"/>
        </w:rPr>
        <w:t xml:space="preserve">- абзац сорок второй изложить в следующей редакции:</w:t>
      </w:r>
    </w:p>
    <w:p>
      <w:pPr>
        <w:spacing w:after="60"/>
        <w:ind w:firstLine="567"/>
        <w:jc w:val="both"/>
      </w:pPr>
      <w:r>
        <w:rPr>
          <w:rFonts w:ascii="Arial" w:cs="Arial" w:eastAsia="Arial" w:hAnsi="Arial"/>
          <w:sz w:val="24"/>
          <w:szCs w:val="24"/>
        </w:rPr>
        <w:t xml:space="preserve">"системный оператор - организация, осуществляющая передачу электроэнергии по национальной электрической сети, ее техническое обслуживание, централизованное оперативно-диспетчерское управление национальной энергосистемой, оказание системных услуг, а также обеспечение параллельной работы с энергосистемами других государств;";</w:t>
      </w:r>
    </w:p>
    <w:p>
      <w:pPr>
        <w:spacing w:after="60"/>
        <w:ind w:firstLine="567"/>
        <w:jc w:val="both"/>
      </w:pPr>
      <w:r>
        <w:rPr>
          <w:rFonts w:ascii="Arial" w:cs="Arial" w:eastAsia="Arial" w:hAnsi="Arial"/>
          <w:sz w:val="24"/>
          <w:szCs w:val="24"/>
        </w:rPr>
        <w:t xml:space="preserve">- абзац пятьдесят третий изложить в следующей редакции:</w:t>
      </w:r>
    </w:p>
    <w:p>
      <w:pPr>
        <w:spacing w:after="60"/>
        <w:ind w:firstLine="567"/>
        <w:jc w:val="both"/>
      </w:pPr>
      <w:r>
        <w:rPr>
          <w:rFonts w:ascii="Arial" w:cs="Arial" w:eastAsia="Arial" w:hAnsi="Arial"/>
          <w:sz w:val="24"/>
          <w:szCs w:val="24"/>
        </w:rPr>
        <w:t xml:space="preserve">"уполномоченный государственный орган по надзору и контролю в сфере энергетики - орган исполнительной власти, уполномоченный Правительством Кыргызской Республики осуществлять надзор и контроль за технической безопасностью в области технического регулирования и охраны труда, надежности и бесперебойности выработай, передачи, распределения и потребления электрической, тепловой энергии и природного газа;".</w:t>
      </w:r>
    </w:p>
    <w:p>
      <w:pPr>
        <w:spacing w:after="60"/>
        <w:ind w:firstLine="567"/>
        <w:jc w:val="both"/>
      </w:pPr>
      <w:r>
        <w:rPr>
          <w:rFonts w:ascii="Arial" w:cs="Arial" w:eastAsia="Arial" w:hAnsi="Arial"/>
          <w:sz w:val="24"/>
          <w:szCs w:val="24"/>
        </w:rPr>
        <w:t xml:space="preserve">В указанной статье проекта Закона под администратором рынка, а также под советом рынка понимается некоммерческая организация, образованная в форме некоммерческого партнерства.</w:t>
      </w:r>
    </w:p>
    <w:p>
      <w:pPr>
        <w:spacing w:after="60"/>
        <w:ind w:firstLine="567"/>
        <w:jc w:val="both"/>
      </w:pPr>
      <w:r>
        <w:rPr>
          <w:rFonts w:ascii="Arial" w:cs="Arial" w:eastAsia="Arial" w:hAnsi="Arial"/>
          <w:sz w:val="24"/>
          <w:szCs w:val="24"/>
        </w:rPr>
        <w:t xml:space="preserve">Необходимо отметить, что </w:t>
      </w:r>
      <w:r>
        <w:rPr>
          <w:rFonts w:ascii="Arial" w:cs="Arial" w:eastAsia="Arial" w:hAnsi="Arial"/>
          <w:sz w:val="24"/>
          <w:szCs w:val="24"/>
        </w:rPr>
        <w:t xml:space="preserve">статьей 2</w:t>
      </w:r>
      <w:r>
        <w:rPr>
          <w:rFonts w:ascii="Arial" w:cs="Arial" w:eastAsia="Arial" w:hAnsi="Arial"/>
          <w:sz w:val="24"/>
          <w:szCs w:val="24"/>
        </w:rPr>
        <w:t xml:space="preserve"> Закона Кыргызской Республики "О некоммерческих организациях" под некоммерческой организацией понимается добровольная самоуправляемая организация, созданная физическими и (или) юридическими лицами на основе общности их интересов для реализации духовных или иных нематериальных потребностей в интересах своих членов и (или) всего общества, для которых извлечение прибыли не является основной целью деятельности, а полученная прибыль не распределяется между членами, учредителями и должностными лицами.</w:t>
      </w:r>
    </w:p>
    <w:p>
      <w:pPr>
        <w:spacing w:after="60"/>
        <w:ind w:firstLine="567"/>
        <w:jc w:val="both"/>
      </w:pPr>
      <w:r>
        <w:rPr>
          <w:rFonts w:ascii="Arial" w:cs="Arial" w:eastAsia="Arial" w:hAnsi="Arial"/>
          <w:sz w:val="24"/>
          <w:szCs w:val="24"/>
        </w:rPr>
        <w:t xml:space="preserve">Согласно пункту 3 </w:t>
      </w:r>
      <w:r>
        <w:rPr>
          <w:rFonts w:ascii="Arial" w:cs="Arial" w:eastAsia="Arial" w:hAnsi="Arial"/>
          <w:sz w:val="24"/>
          <w:szCs w:val="24"/>
        </w:rPr>
        <w:t xml:space="preserve">статьи 85</w:t>
      </w:r>
      <w:r>
        <w:rPr>
          <w:rFonts w:ascii="Arial" w:cs="Arial" w:eastAsia="Arial" w:hAnsi="Arial"/>
          <w:sz w:val="24"/>
          <w:szCs w:val="24"/>
        </w:rPr>
        <w:t xml:space="preserve"> Гражданского </w:t>
      </w:r>
      <w:hyperlink w:history="1" r:id="rIdaj4oiexiqfzzno1rl_t3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юридические лица, являющиеся некоммерческими организациями, могут создаваться в форме кооперативов, политических партий и иных общественных или религиозных организаций (объединений), финансируемых собственником учреждений, благотворительных и иных общественных фондов, а также в других формах, предусмотренных законом.</w:t>
      </w:r>
    </w:p>
    <w:p>
      <w:pPr>
        <w:spacing w:after="60"/>
        <w:ind w:firstLine="567"/>
        <w:jc w:val="both"/>
      </w:pPr>
      <w:r>
        <w:rPr>
          <w:rFonts w:ascii="Arial" w:cs="Arial" w:eastAsia="Arial" w:hAnsi="Arial"/>
          <w:sz w:val="24"/>
          <w:szCs w:val="24"/>
        </w:rPr>
        <w:t xml:space="preserve">При этом Гражданский </w:t>
      </w:r>
      <w:hyperlink w:history="1" r:id="rIdhchmdpqrwe2xiqv-v5ls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некоммерческих организациях" не предусматривают возможность создания юридических лиц в форме некоммерческого партнерства.</w:t>
      </w:r>
    </w:p>
    <w:p>
      <w:pPr>
        <w:spacing w:after="60"/>
        <w:ind w:firstLine="567"/>
        <w:jc w:val="both"/>
      </w:pPr>
      <w:r>
        <w:rPr>
          <w:rFonts w:ascii="Arial" w:cs="Arial" w:eastAsia="Arial" w:hAnsi="Arial"/>
          <w:sz w:val="24"/>
          <w:szCs w:val="24"/>
        </w:rPr>
        <w:t xml:space="preserve">В связи с этим предлагаем уточнить, что в проекте Закона подразумевается под "некоммерческим партнерством". В случае, если планируется создание некоммерческих организаций в самостоятельной организационно-правовой форме, необходимо в рамках проекта Закона определить порядок их учреждения, субъектов, имеющих право выступать в качестве учредителей, органы управления, порядок деятельности и т.д.</w:t>
      </w:r>
    </w:p>
    <w:p>
      <w:pPr>
        <w:spacing w:after="60"/>
        <w:ind w:firstLine="567"/>
        <w:jc w:val="both"/>
      </w:pPr>
      <w:r>
        <w:rPr>
          <w:rFonts w:ascii="Arial" w:cs="Arial" w:eastAsia="Arial" w:hAnsi="Arial"/>
          <w:sz w:val="24"/>
          <w:szCs w:val="24"/>
        </w:rPr>
        <w:t xml:space="preserve">Кроме того, отмечаем, что в Кыргызской Республике в настоящее время отсутствует оптовый рынок электроэнергии, в связи с чем возникает необходимость дополнительного изучения целесообразности отнесения к субъектам рынка администратора рынка, регламентации положений указанного юридического лица. Аналогичное предложение в отношении создания совета рынка.</w:t>
      </w:r>
    </w:p>
    <w:p>
      <w:pPr>
        <w:spacing w:after="60"/>
        <w:ind w:firstLine="567"/>
        <w:jc w:val="both"/>
      </w:pPr>
      <w:r>
        <w:rPr>
          <w:rFonts w:ascii="Arial" w:cs="Arial" w:eastAsia="Arial" w:hAnsi="Arial"/>
          <w:sz w:val="24"/>
          <w:szCs w:val="24"/>
        </w:rPr>
        <w:t xml:space="preserve">При этом информируем, что к 2020 году в рамках Евразийского экономического союза планируется создание общего рынка электрической энергии, с определением сегментов рынка, тем самым отпадет необходимость создания административного рынка в республике.</w:t>
      </w:r>
    </w:p>
    <w:p>
      <w:pPr>
        <w:spacing w:after="60"/>
        <w:ind w:firstLine="567"/>
        <w:jc w:val="both"/>
      </w:pPr>
      <w:r>
        <w:rPr>
          <w:rFonts w:ascii="Arial" w:cs="Arial" w:eastAsia="Arial" w:hAnsi="Arial"/>
          <w:sz w:val="24"/>
          <w:szCs w:val="24"/>
        </w:rPr>
        <w:t xml:space="preserve">С учетом изложенного также предлагаем термин "единый закупщик" и соответствующие положения проекта Закона, касающиеся данной организации, исключить.</w:t>
      </w:r>
    </w:p>
    <w:p>
      <w:pPr>
        <w:spacing w:after="60"/>
        <w:ind w:firstLine="567"/>
        <w:jc w:val="both"/>
      </w:pPr>
      <w:r>
        <w:rPr>
          <w:rFonts w:ascii="Arial" w:cs="Arial" w:eastAsia="Arial" w:hAnsi="Arial"/>
          <w:sz w:val="24"/>
          <w:szCs w:val="24"/>
        </w:rPr>
        <w:t xml:space="preserve">В названной статье проекта Закона раскрываются понятия "топливно-энергетический комплекс" и "уполномоченный государственный орган по регулированию топливно-энергетического комплекса (регулирующий орган)". Под топливно-энергетическим комплексом понимается совокупность взаимосвязанных отраслей экономики, включающая государственные и негосударственные структуры, занятые в угле-, нефте-, газо-, тепло-, и энергоснабжающих и потребляющих системах и территориальных подсистемах. В свою очередь, под регулирующим органом понимается орган исполнительной власти, осуществляющий функции по государственному регулированию деятельности субъектов топливно-энергетического комплекса, установлению тарифов, утверждению стандартов по обслуживанию потребителей, выдаче лицензий, осуществлению лицензионного контроля и мониторинга функционирования рынков. Таким образом, под регулирование указанного уполномоченного органа подпадут угольная и нефтяная отрасли, которые в настоящее время Государственным агентством по регулированию топливно-энергетического комплекса при Правительстве Кыргызской Республики не регулируются.</w:t>
      </w:r>
    </w:p>
    <w:p>
      <w:pPr>
        <w:spacing w:after="60"/>
        <w:ind w:firstLine="567"/>
        <w:jc w:val="both"/>
      </w:pPr>
      <w:r>
        <w:rPr>
          <w:rFonts w:ascii="Arial" w:cs="Arial" w:eastAsia="Arial" w:hAnsi="Arial"/>
          <w:sz w:val="24"/>
          <w:szCs w:val="24"/>
        </w:rPr>
        <w:t xml:space="preserve">В целях полного раскрытия понятий, используемых в проекте Закона, предлагаем статью дополнить следующими терминами:</w:t>
      </w:r>
    </w:p>
    <w:p>
      <w:pPr>
        <w:spacing w:after="60"/>
        <w:ind w:firstLine="567"/>
        <w:jc w:val="both"/>
      </w:pPr>
      <w:r>
        <w:rPr>
          <w:rFonts w:ascii="Arial" w:cs="Arial" w:eastAsia="Arial" w:hAnsi="Arial"/>
          <w:sz w:val="24"/>
          <w:szCs w:val="24"/>
        </w:rPr>
        <w:t xml:space="preserve">"система коммерческого учета электрической энергии - совокупность приборов коммерческого учета для определения расхода электрической энергии и мощности (счетчик электрической энергии, измерительные трансформаторы тока и напряжения) и устройство (коммутационный аппарат), соединенные между собой по установленной схеме;</w:t>
      </w:r>
    </w:p>
    <w:p>
      <w:pPr>
        <w:spacing w:after="60"/>
        <w:ind w:firstLine="567"/>
        <w:jc w:val="both"/>
      </w:pPr>
      <w:r>
        <w:rPr>
          <w:rFonts w:ascii="Arial" w:cs="Arial" w:eastAsia="Arial" w:hAnsi="Arial"/>
          <w:sz w:val="24"/>
          <w:szCs w:val="24"/>
        </w:rPr>
        <w:t xml:space="preserve">управляющая компания - акционерное общество, акции которого находятся в исключительной государственной собственности, являющееся акционером компаний топливно-энергетического комплекса;".</w:t>
      </w:r>
    </w:p>
    <w:p>
      <w:pPr>
        <w:spacing w:after="60"/>
        <w:ind w:firstLine="567"/>
        <w:jc w:val="both"/>
      </w:pPr>
      <w:r>
        <w:rPr>
          <w:rFonts w:ascii="Arial" w:cs="Arial" w:eastAsia="Arial" w:hAnsi="Arial"/>
          <w:sz w:val="24"/>
          <w:szCs w:val="24"/>
        </w:rPr>
        <w:t xml:space="preserve">Определение "субъекты электроэнергетики" предлагаем пересмотреть с учетом требований </w:t>
      </w:r>
      <w:r>
        <w:rPr>
          <w:rFonts w:ascii="Arial" w:cs="Arial" w:eastAsia="Arial" w:hAnsi="Arial"/>
          <w:sz w:val="24"/>
          <w:szCs w:val="24"/>
        </w:rPr>
        <w:t xml:space="preserve">статьи 15</w:t>
      </w:r>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 которой предусмотрены следующие виды лицензируемых видов деятельности:</w:t>
      </w:r>
    </w:p>
    <w:p>
      <w:pPr>
        <w:spacing w:after="60"/>
        <w:ind w:firstLine="567"/>
        <w:jc w:val="both"/>
      </w:pPr>
      <w:r>
        <w:rPr>
          <w:rFonts w:ascii="Arial" w:cs="Arial" w:eastAsia="Arial" w:hAnsi="Arial"/>
          <w:sz w:val="24"/>
          <w:szCs w:val="24"/>
        </w:rPr>
        <w:t xml:space="preserve">производство, передача, распределение, продажа, экспорт и импорт электрической энергии (за исключением производства электрической энергии, получаемой в результате использования возобновляемых источников энергии, а также производства электрической энергии из любых источников энергии для собственного пользования при мощности до 1000 кВт);</w:t>
      </w:r>
    </w:p>
    <w:p>
      <w:pPr>
        <w:spacing w:after="60"/>
        <w:ind w:firstLine="567"/>
        <w:jc w:val="both"/>
      </w:pPr>
      <w:r>
        <w:rPr>
          <w:rFonts w:ascii="Arial" w:cs="Arial" w:eastAsia="Arial" w:hAnsi="Arial"/>
          <w:sz w:val="24"/>
          <w:szCs w:val="24"/>
        </w:rPr>
        <w:t xml:space="preserve">производство, передача, распределение и продажа тепловой энергии (за исключением производства тепловой энергии, получаемой в результате использования возобновляемых источников энергии, а также производства тепловой энергии из любых источников энергии для собственного пользования).</w:t>
      </w:r>
    </w:p>
    <w:p>
      <w:pPr>
        <w:spacing w:after="60"/>
        <w:ind w:firstLine="567"/>
        <w:jc w:val="both"/>
      </w:pPr>
      <w:r>
        <w:rPr>
          <w:rFonts w:ascii="Arial" w:cs="Arial" w:eastAsia="Arial" w:hAnsi="Arial"/>
          <w:sz w:val="24"/>
          <w:szCs w:val="24"/>
        </w:rPr>
        <w:t xml:space="preserve">Принимая во внимание вышеназванные положения </w:t>
      </w:r>
      <w:r>
        <w:rPr>
          <w:rFonts w:ascii="Arial" w:cs="Arial" w:eastAsia="Arial" w:hAnsi="Arial"/>
          <w:sz w:val="24"/>
          <w:szCs w:val="24"/>
        </w:rPr>
        <w:t xml:space="preserve">статьи 15</w:t>
      </w:r>
      <w:r>
        <w:rPr>
          <w:rFonts w:ascii="Arial" w:cs="Arial" w:eastAsia="Arial" w:hAnsi="Arial"/>
          <w:sz w:val="24"/>
          <w:szCs w:val="24"/>
        </w:rPr>
        <w:t xml:space="preserve"> обозначенного Закона, предлагаем также пересмотреть редакцию части 3 статьи 50 проекта Закона.</w:t>
      </w:r>
    </w:p>
    <w:p>
      <w:pPr>
        <w:spacing w:after="60"/>
        <w:ind w:firstLine="567"/>
        <w:jc w:val="both"/>
      </w:pPr>
      <w:r>
        <w:rPr>
          <w:rFonts w:ascii="Arial" w:cs="Arial" w:eastAsia="Arial" w:hAnsi="Arial"/>
          <w:sz w:val="24"/>
          <w:szCs w:val="24"/>
        </w:rPr>
        <w:t xml:space="preserve">В определении "релейная защита" предлагаем слова "опасные ненормальные" заменить словом "аварийные".</w:t>
      </w:r>
    </w:p>
    <w:p>
      <w:pPr>
        <w:spacing w:after="60"/>
        <w:ind w:firstLine="567"/>
        <w:jc w:val="both"/>
      </w:pPr>
      <w:r>
        <w:rPr>
          <w:rFonts w:ascii="Arial" w:cs="Arial" w:eastAsia="Arial" w:hAnsi="Arial"/>
          <w:sz w:val="24"/>
          <w:szCs w:val="24"/>
        </w:rPr>
        <w:t xml:space="preserve">Термин "электрические сети государственного значения" предлагаем исключить, поскольку он не применяется по тексту проекта Закона. При этом информируем, что согласно части 3 </w:t>
      </w:r>
      <w:r>
        <w:rPr>
          <w:rFonts w:ascii="Arial" w:cs="Arial" w:eastAsia="Arial" w:hAnsi="Arial"/>
          <w:sz w:val="24"/>
          <w:szCs w:val="24"/>
        </w:rPr>
        <w:t xml:space="preserve">статьи 11</w:t>
      </w:r>
      <w:r>
        <w:rPr>
          <w:rFonts w:ascii="Arial" w:cs="Arial" w:eastAsia="Arial" w:hAnsi="Arial"/>
          <w:sz w:val="24"/>
          <w:szCs w:val="24"/>
        </w:rPr>
        <w:t xml:space="preserve"> </w:t>
      </w:r>
      <w:hyperlink w:history="1" r:id="rIdfj9mdivrgstk40b4iyuk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при необходимости уточнения терминов и понятий, используемых в нормативном правовом акте, в нем помещается статья (пункт), разъясняющая их значение.</w:t>
      </w:r>
    </w:p>
    <w:p>
      <w:pPr>
        <w:spacing w:after="60"/>
        <w:ind w:firstLine="567"/>
        <w:jc w:val="both"/>
      </w:pPr>
      <w:r>
        <w:rPr>
          <w:rFonts w:ascii="Arial" w:cs="Arial" w:eastAsia="Arial" w:hAnsi="Arial"/>
          <w:sz w:val="24"/>
          <w:szCs w:val="24"/>
        </w:rPr>
        <w:t xml:space="preserve">7. В проекте Закона электрическая энергия и мощность признаются особым товаром. Проект Закона предусматривает оборот (производство) как электрической энергии и мощности одновременно, так и в отдельности только электрической энергии либо только мощности. Вместе с тем, мощность не может признаваться в качестве товара, а относится к категории услуги, так как сопровождает выработку электроэнергии и поддерживает баланс мощности, контролируемый в виде частоты электрического тока. С учетом изложенного предлагаем пересмотреть соответствующие статьи проекта Закона.</w:t>
      </w:r>
    </w:p>
    <w:p>
      <w:pPr>
        <w:spacing w:after="60"/>
        <w:ind w:firstLine="567"/>
        <w:jc w:val="both"/>
      </w:pPr>
      <w:r>
        <w:rPr>
          <w:rFonts w:ascii="Arial" w:cs="Arial" w:eastAsia="Arial" w:hAnsi="Arial"/>
          <w:sz w:val="24"/>
          <w:szCs w:val="24"/>
        </w:rPr>
        <w:t xml:space="preserve">8. В статье 4 проекта Закона слова "иметь любую организационно-правовую форму" предлагаем заменить словами "находиться в любой форме".</w:t>
      </w:r>
    </w:p>
    <w:p>
      <w:pPr>
        <w:spacing w:after="60"/>
        <w:ind w:firstLine="567"/>
        <w:jc w:val="both"/>
      </w:pPr>
      <w:r>
        <w:rPr>
          <w:rFonts w:ascii="Arial" w:cs="Arial" w:eastAsia="Arial" w:hAnsi="Arial"/>
          <w:sz w:val="24"/>
          <w:szCs w:val="24"/>
        </w:rPr>
        <w:t xml:space="preserve">9.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6 января 2016 года № 4 в целях реформирования управления энергетической отраслью создано открытое акционерное общество "Национальная энергетическая холдинговая компания". Учитывая, что проектом Закона определяется правовой статус всех субъектов в сфере электроэнергетики, предлагаем дополнить проект Закона статьей следующего содержания:</w:t>
      </w:r>
    </w:p>
    <w:p>
      <w:pPr>
        <w:spacing w:after="60"/>
        <w:ind w:firstLine="567"/>
        <w:jc w:val="both"/>
      </w:pPr>
      <w:r>
        <w:rPr>
          <w:rFonts w:ascii="Arial" w:cs="Arial" w:eastAsia="Arial" w:hAnsi="Arial"/>
          <w:sz w:val="24"/>
          <w:szCs w:val="24"/>
        </w:rPr>
        <w:t xml:space="preserve">"Статья __. Управляющая компания</w:t>
      </w:r>
    </w:p>
    <w:p>
      <w:pPr>
        <w:spacing w:after="60"/>
        <w:ind w:firstLine="567"/>
        <w:jc w:val="both"/>
      </w:pPr>
      <w:r>
        <w:rPr>
          <w:rFonts w:ascii="Arial" w:cs="Arial" w:eastAsia="Arial" w:hAnsi="Arial"/>
          <w:sz w:val="24"/>
          <w:szCs w:val="24"/>
        </w:rPr>
        <w:t xml:space="preserve">Управляющая компания осуществляет свою деятельность в соответствии с законодательством Кыргызской Республики и действует на принципах независимости, открытости и прозрачности.</w:t>
      </w:r>
    </w:p>
    <w:p>
      <w:pPr>
        <w:spacing w:after="60"/>
        <w:ind w:firstLine="567"/>
        <w:jc w:val="both"/>
      </w:pPr>
      <w:r>
        <w:rPr>
          <w:rFonts w:ascii="Arial" w:cs="Arial" w:eastAsia="Arial" w:hAnsi="Arial"/>
          <w:sz w:val="24"/>
          <w:szCs w:val="24"/>
        </w:rPr>
        <w:t xml:space="preserve">Основные функции управляющей компании:</w:t>
      </w:r>
    </w:p>
    <w:p>
      <w:pPr>
        <w:spacing w:after="60"/>
        <w:ind w:firstLine="567"/>
        <w:jc w:val="both"/>
      </w:pPr>
      <w:r>
        <w:rPr>
          <w:rFonts w:ascii="Arial" w:cs="Arial" w:eastAsia="Arial" w:hAnsi="Arial"/>
          <w:sz w:val="24"/>
          <w:szCs w:val="24"/>
        </w:rPr>
        <w:t xml:space="preserve">- разработка стратегического видения энергокомпании;</w:t>
      </w:r>
    </w:p>
    <w:p>
      <w:pPr>
        <w:spacing w:after="60"/>
        <w:ind w:firstLine="567"/>
        <w:jc w:val="both"/>
      </w:pPr>
      <w:r>
        <w:rPr>
          <w:rFonts w:ascii="Arial" w:cs="Arial" w:eastAsia="Arial" w:hAnsi="Arial"/>
          <w:sz w:val="24"/>
          <w:szCs w:val="24"/>
        </w:rPr>
        <w:t xml:space="preserve">- определение целевых показателей деятельности энергокомпаний;</w:t>
      </w:r>
    </w:p>
    <w:p>
      <w:pPr>
        <w:spacing w:after="60"/>
        <w:ind w:firstLine="567"/>
        <w:jc w:val="both"/>
      </w:pPr>
      <w:r>
        <w:rPr>
          <w:rFonts w:ascii="Arial" w:cs="Arial" w:eastAsia="Arial" w:hAnsi="Arial"/>
          <w:sz w:val="24"/>
          <w:szCs w:val="24"/>
        </w:rPr>
        <w:t xml:space="preserve">- мониторинг финансового состояния энергокомпаний;</w:t>
      </w:r>
    </w:p>
    <w:p>
      <w:pPr>
        <w:spacing w:after="60"/>
        <w:ind w:firstLine="567"/>
        <w:jc w:val="both"/>
      </w:pPr>
      <w:r>
        <w:rPr>
          <w:rFonts w:ascii="Arial" w:cs="Arial" w:eastAsia="Arial" w:hAnsi="Arial"/>
          <w:sz w:val="24"/>
          <w:szCs w:val="24"/>
        </w:rPr>
        <w:t xml:space="preserve">- разработка комплекса мер, направленных на повышение эффективности системы управления и сокращение затрат энергетических компаний.".</w:t>
      </w:r>
    </w:p>
    <w:p>
      <w:pPr>
        <w:spacing w:after="60"/>
        <w:ind w:firstLine="567"/>
        <w:jc w:val="both"/>
      </w:pPr>
      <w:r>
        <w:rPr>
          <w:rFonts w:ascii="Arial" w:cs="Arial" w:eastAsia="Arial" w:hAnsi="Arial"/>
          <w:sz w:val="24"/>
          <w:szCs w:val="24"/>
        </w:rPr>
        <w:t xml:space="preserve">10. В пункте 1 части 1 статьи 9 проекта Закона слово "диспетчеризацию" предлагаем заменить словами "оперативно-диспетчерское управление".</w:t>
      </w:r>
    </w:p>
    <w:p>
      <w:pPr>
        <w:spacing w:after="60"/>
        <w:ind w:firstLine="567"/>
        <w:jc w:val="both"/>
      </w:pPr>
      <w:r>
        <w:rPr>
          <w:rFonts w:ascii="Arial" w:cs="Arial" w:eastAsia="Arial" w:hAnsi="Arial"/>
          <w:sz w:val="24"/>
          <w:szCs w:val="24"/>
        </w:rPr>
        <w:t xml:space="preserve">11. Предлагаем пересмотреть редакцию пунктов 1, 3 и 4 части 1 статьи 10 проекта Закона в связи с неточностью их формулировки. При этом, поскольку названная статья состоит из одной части, отсутствует необходимость ее нумерации. Аналогичное замечание по иным статьям проекта.</w:t>
      </w:r>
    </w:p>
    <w:p>
      <w:pPr>
        <w:spacing w:after="60"/>
        <w:ind w:firstLine="567"/>
        <w:jc w:val="both"/>
      </w:pPr>
      <w:r>
        <w:rPr>
          <w:rFonts w:ascii="Arial" w:cs="Arial" w:eastAsia="Arial" w:hAnsi="Arial"/>
          <w:sz w:val="24"/>
          <w:szCs w:val="24"/>
        </w:rPr>
        <w:t xml:space="preserve">12. В соответствии с частью 1 </w:t>
      </w:r>
      <w:r>
        <w:rPr>
          <w:rFonts w:ascii="Arial" w:cs="Arial" w:eastAsia="Arial" w:hAnsi="Arial"/>
          <w:sz w:val="24"/>
          <w:szCs w:val="24"/>
        </w:rPr>
        <w:t xml:space="preserve">статьи 2</w:t>
      </w:r>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 указанный Закон регулирует отношения, возникающие между органами исполнительной власти, физическими и юридическими лицами в связи с осуществлением лицензирования отдельных видов деятельности, действий, операций, в том числе по использованию ограниченных государственных ресурсов.</w:t>
      </w:r>
    </w:p>
    <w:p>
      <w:pPr>
        <w:spacing w:after="60"/>
        <w:ind w:firstLine="567"/>
        <w:jc w:val="both"/>
      </w:pPr>
      <w:r>
        <w:rPr>
          <w:rFonts w:ascii="Arial" w:cs="Arial" w:eastAsia="Arial" w:hAnsi="Arial"/>
          <w:sz w:val="24"/>
          <w:szCs w:val="24"/>
        </w:rPr>
        <w:t xml:space="preserve">Частью 4 названной статьи установлено, что порядок лицензирования видов деятельности, указанных в настоящем Законе, осуществляется в соответствии с настоящим Законом и другими нормативными правовыми актами Кыргызской Республики в части, не противоречащей ему.</w:t>
      </w:r>
    </w:p>
    <w:p>
      <w:pPr>
        <w:spacing w:after="60"/>
        <w:ind w:firstLine="567"/>
        <w:jc w:val="both"/>
      </w:pPr>
      <w:r>
        <w:rPr>
          <w:rFonts w:ascii="Arial" w:cs="Arial" w:eastAsia="Arial" w:hAnsi="Arial"/>
          <w:sz w:val="24"/>
          <w:szCs w:val="24"/>
        </w:rPr>
        <w:t xml:space="preserve">При этом информируем, что согласно части 3 </w:t>
      </w:r>
      <w:r>
        <w:rPr>
          <w:rFonts w:ascii="Arial" w:cs="Arial" w:eastAsia="Arial" w:hAnsi="Arial"/>
          <w:sz w:val="24"/>
          <w:szCs w:val="24"/>
        </w:rPr>
        <w:t xml:space="preserve">статьи 32</w:t>
      </w:r>
      <w:r>
        <w:rPr>
          <w:rFonts w:ascii="Arial" w:cs="Arial" w:eastAsia="Arial" w:hAnsi="Arial"/>
          <w:sz w:val="24"/>
          <w:szCs w:val="24"/>
        </w:rPr>
        <w:t xml:space="preserve"> Закона Кыргызской Республики "О нормативных правовых актах Кыргызской Республики" в случае коллизии между нормативными правовыми актами, обладающими равной юридической силой, и если ни один из них не противоречит акту с более высокой юридической силой, действуют положения акта, регулирующего данную сферу правоотношений. Таким образом, в случае наличия коллизий между Законом Кыргызской Республики "Об электроэнергетике" 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лицензионно-разрешительной системе в Кыргызской Республике" будут применяться положения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Анализ представленного проекта Закона выявил несоответствие его положений в области лицензирования требованиям вышеназванного Закона. В этой связи, в целях недопущения возникновения противоречий между законами, считаем целесообразным исключить из проекта Закона положения, касающиеся вопросов лицензирования, предусмотрев в статье 12 проекта Закона отсылочную норму на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лицензионно-разрешительной системе в Кыргызской Республике", или привести содержание соответствующих статей проекта Закона в соответствие с требованиями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При доработке статьи 12 проекта Закона части 1 предлагаем исключить, так как абзацем вторым пункта 1 </w:t>
      </w:r>
      <w:r>
        <w:rPr>
          <w:rFonts w:ascii="Arial" w:cs="Arial" w:eastAsia="Arial" w:hAnsi="Arial"/>
          <w:sz w:val="24"/>
          <w:szCs w:val="24"/>
        </w:rPr>
        <w:t xml:space="preserve">статьи 84</w:t>
      </w:r>
      <w:r>
        <w:rPr>
          <w:rFonts w:ascii="Arial" w:cs="Arial" w:eastAsia="Arial" w:hAnsi="Arial"/>
          <w:sz w:val="24"/>
          <w:szCs w:val="24"/>
        </w:rPr>
        <w:t xml:space="preserve"> Гражданского кодекса Кыргызской Республики уже установлено, что отдельными видами детальности, перечень которых определяется законом, юридическое лицо может заниматься только на основании специального разрешения (лицензии).</w:t>
      </w:r>
    </w:p>
    <w:p>
      <w:pPr>
        <w:spacing w:after="60"/>
        <w:ind w:firstLine="567"/>
        <w:jc w:val="both"/>
      </w:pPr>
      <w:r>
        <w:rPr>
          <w:rFonts w:ascii="Arial" w:cs="Arial" w:eastAsia="Arial" w:hAnsi="Arial"/>
          <w:sz w:val="24"/>
          <w:szCs w:val="24"/>
        </w:rPr>
        <w:t xml:space="preserve">13. В часта 5 статьи 14 проекта Закона предлагаем уточнить, какой период будет относиться к длящемуся.</w:t>
      </w:r>
    </w:p>
    <w:p>
      <w:pPr>
        <w:spacing w:after="60"/>
        <w:ind w:firstLine="567"/>
        <w:jc w:val="both"/>
      </w:pPr>
      <w:r>
        <w:rPr>
          <w:rFonts w:ascii="Arial" w:cs="Arial" w:eastAsia="Arial" w:hAnsi="Arial"/>
          <w:sz w:val="24"/>
          <w:szCs w:val="24"/>
        </w:rPr>
        <w:t xml:space="preserve">14. В соответствии со </w:t>
      </w:r>
      <w:r>
        <w:rPr>
          <w:rFonts w:ascii="Arial" w:cs="Arial" w:eastAsia="Arial" w:hAnsi="Arial"/>
          <w:sz w:val="24"/>
          <w:szCs w:val="24"/>
        </w:rPr>
        <w:t xml:space="preserve">статьей 222</w:t>
      </w:r>
      <w:r>
        <w:rPr>
          <w:rFonts w:ascii="Arial" w:cs="Arial" w:eastAsia="Arial" w:hAnsi="Arial"/>
          <w:sz w:val="24"/>
          <w:szCs w:val="24"/>
        </w:rPr>
        <w:t xml:space="preserve"> Гражданского кодекса Кыргызской Республики право собственности есть признаваемое и охраняемое законодательными актами право субъекта по своему усмотрению владеть, пользоваться и распоряжаться принадлежащим ему имуществом. Собственнику принадлежат права владения, пользования и распоряжения своим имуществом. С учетом изложенного предлагаем в абзаце втором части 10 статьи 14 проекта Закона конкретизировать, кто, наряду с собственниками, будет признаваться законными собственниками энергопринимающих устройств или объектов электроэнергетики. Аналогичное предложение по статье 74 проекта Закона.</w:t>
      </w:r>
    </w:p>
    <w:p>
      <w:pPr>
        <w:spacing w:after="60"/>
        <w:ind w:firstLine="567"/>
        <w:jc w:val="both"/>
      </w:pPr>
      <w:r>
        <w:rPr>
          <w:rFonts w:ascii="Arial" w:cs="Arial" w:eastAsia="Arial" w:hAnsi="Arial"/>
          <w:sz w:val="24"/>
          <w:szCs w:val="24"/>
        </w:rPr>
        <w:t xml:space="preserve">15. Предлагаем пересмотреть название статьи 17 проекта Закона, так как оно неточно отражает содержание названной статьи.</w:t>
      </w:r>
    </w:p>
    <w:p>
      <w:pPr>
        <w:spacing w:after="60"/>
        <w:ind w:firstLine="567"/>
        <w:jc w:val="both"/>
      </w:pPr>
      <w:r>
        <w:rPr>
          <w:rFonts w:ascii="Arial" w:cs="Arial" w:eastAsia="Arial" w:hAnsi="Arial"/>
          <w:sz w:val="24"/>
          <w:szCs w:val="24"/>
        </w:rPr>
        <w:t xml:space="preserve">16. По статье 18 проекта Закона.</w:t>
      </w:r>
    </w:p>
    <w:p>
      <w:pPr>
        <w:spacing w:after="60"/>
        <w:ind w:firstLine="567"/>
        <w:jc w:val="both"/>
      </w:pPr>
      <w:r>
        <w:rPr>
          <w:rFonts w:ascii="Arial" w:cs="Arial" w:eastAsia="Arial" w:hAnsi="Arial"/>
          <w:sz w:val="24"/>
          <w:szCs w:val="24"/>
        </w:rPr>
        <w:t xml:space="preserve">В пункте 5 части 1 слова "и на услуги по оперативно-диспетчерскому управлению" предлагаем исключить, так как распределительные компании не оказывают данные услуги.</w:t>
      </w:r>
    </w:p>
    <w:p>
      <w:pPr>
        <w:spacing w:after="60"/>
        <w:ind w:firstLine="567"/>
        <w:jc w:val="both"/>
      </w:pPr>
      <w:r>
        <w:rPr>
          <w:rFonts w:ascii="Arial" w:cs="Arial" w:eastAsia="Arial" w:hAnsi="Arial"/>
          <w:sz w:val="24"/>
          <w:szCs w:val="24"/>
        </w:rPr>
        <w:t xml:space="preserve">Абзацем первым части 2 предусмотрено, что государственное регулирование и контроль цен и тарифов на электрическую и тепловую энергии осуществляется в соответствии с антимонопольным законодательством. Однако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естественных монополиях в Кыргызской Республике" отрасль электрической и тепловой энергии отнесена к сфере естественной монополии и указанным Законом уже определены правовые основы государственного антимонопольного регулирования, в том числе цен и тарифов в данной отрасли.</w:t>
      </w:r>
    </w:p>
    <w:p>
      <w:pPr>
        <w:spacing w:after="60"/>
        <w:ind w:firstLine="567"/>
        <w:jc w:val="both"/>
      </w:pPr>
      <w:r>
        <w:rPr>
          <w:rFonts w:ascii="Arial" w:cs="Arial" w:eastAsia="Arial" w:hAnsi="Arial"/>
          <w:sz w:val="24"/>
          <w:szCs w:val="24"/>
        </w:rPr>
        <w:t xml:space="preserve">В этой связи, учитывая, что антимонопольное регулирование осуществляется в соответствии с антимонопольным законодательством, считаем целесообразным абзац первый части 2 статьи 18 проекта Закона исключить.</w:t>
      </w:r>
    </w:p>
    <w:p>
      <w:pPr>
        <w:spacing w:after="60"/>
        <w:ind w:firstLine="567"/>
        <w:jc w:val="both"/>
      </w:pPr>
      <w:r>
        <w:rPr>
          <w:rFonts w:ascii="Arial" w:cs="Arial" w:eastAsia="Arial" w:hAnsi="Arial"/>
          <w:sz w:val="24"/>
          <w:szCs w:val="24"/>
        </w:rPr>
        <w:t xml:space="preserve">17. Предлагаем пересмотреть нумерацию структурных подразделений статьи 19 проекта Закона.</w:t>
      </w:r>
    </w:p>
    <w:p>
      <w:pPr>
        <w:spacing w:after="60"/>
        <w:ind w:firstLine="567"/>
        <w:jc w:val="both"/>
      </w:pPr>
      <w:r>
        <w:rPr>
          <w:rFonts w:ascii="Arial" w:cs="Arial" w:eastAsia="Arial" w:hAnsi="Arial"/>
          <w:sz w:val="24"/>
          <w:szCs w:val="24"/>
        </w:rPr>
        <w:t xml:space="preserve">18. Статьей 20 проекта Закона на уполномоченный государственный орган по регулированию топливно-энергетического комплекса возлагается разработка нормативных правовых актов по методологии тарифообразования и правил применения тарифов в электроэнергетике. Вместе с тем, учитывая требования Закона Кыргызской Республики "О нормативных правовых актах Кыргызской Республики", предлагаем при ссылке на различные нормативные правовые акты указывать орган, в компетенцию которого будет входить их утверждение, а не разработка. Аналогичное предложение по части 4 статьи 72 и части 1 статьи 78 проекта Закона.</w:t>
      </w:r>
    </w:p>
    <w:p>
      <w:pPr>
        <w:spacing w:after="60"/>
        <w:ind w:firstLine="567"/>
        <w:jc w:val="both"/>
      </w:pPr>
      <w:r>
        <w:rPr>
          <w:rFonts w:ascii="Arial" w:cs="Arial" w:eastAsia="Arial" w:hAnsi="Arial"/>
          <w:sz w:val="24"/>
          <w:szCs w:val="24"/>
        </w:rPr>
        <w:t xml:space="preserve">19. В статье 21 проекта Закона предлагаем конкретизировать, что устанавливаемая в частях 3 и 4 названной статьи проекта процедура принятия тарифов касается тарифов, устанавливаемых для конечных потребителей электроэнергии.</w:t>
      </w:r>
    </w:p>
    <w:p>
      <w:pPr>
        <w:spacing w:after="60"/>
        <w:ind w:firstLine="567"/>
        <w:jc w:val="both"/>
      </w:pPr>
      <w:r>
        <w:rPr>
          <w:rFonts w:ascii="Arial" w:cs="Arial" w:eastAsia="Arial" w:hAnsi="Arial"/>
          <w:sz w:val="24"/>
          <w:szCs w:val="24"/>
        </w:rPr>
        <w:t xml:space="preserve">20. Законом Кыргызской Республики "О лицензионно-разрешительной системе в Кыргызской Республике" не предусмотрено понятие "условия лицензии". Кроме того, статьи 28 и 29 названного Закона устанавливают исчерпывающие меры воздействия, которые могут быть применены к лицензиату за нарушение лицензионных требований. В связи с этим часть 1 статьи 22 проекта Закона предлагаем пересмотреть.</w:t>
      </w:r>
    </w:p>
    <w:p>
      <w:pPr>
        <w:spacing w:after="60"/>
        <w:ind w:firstLine="567"/>
        <w:jc w:val="both"/>
      </w:pPr>
      <w:r>
        <w:rPr>
          <w:rFonts w:ascii="Arial" w:cs="Arial" w:eastAsia="Arial" w:hAnsi="Arial"/>
          <w:sz w:val="24"/>
          <w:szCs w:val="24"/>
        </w:rPr>
        <w:t xml:space="preserve">21. Также обращаем внимание на то, что вышеназванный Закон не определяет "лицензионные услуги", в связи с чем предлагаем пересмотреть положения части 2 статьи 23 и части 5 статьи 46 проекта Закона.</w:t>
      </w:r>
    </w:p>
    <w:p>
      <w:pPr>
        <w:spacing w:after="60"/>
        <w:ind w:firstLine="567"/>
        <w:jc w:val="both"/>
      </w:pPr>
      <w:r>
        <w:rPr>
          <w:rFonts w:ascii="Arial" w:cs="Arial" w:eastAsia="Arial" w:hAnsi="Arial"/>
          <w:sz w:val="24"/>
          <w:szCs w:val="24"/>
        </w:rPr>
        <w:t xml:space="preserve">Кроме того, частью 2 статьи 23 проекта Закона лицензиату предоставляется право продавать электрическую и тепловую энергию по более низким тарифам, чем тарифы, установленные регулирующим органом для конечного потребителя. В тоже время статьей 19 проекта Закона предусмотрено, что все потребители одинаковой группы с одинаковыми характеристиками потребления, обслуживаемые одним распределяющим предприятием, должны получать равные тарифы и обслуживание. Таким образом, лицензиат, получая возможность самостоятельно снижать тарифы, сможет устанавливать разные тарифы для одной категории потребителей. В связи с чем применение положений статьи 23 проекта Закона будет противоречить требованиям статьи 19 проекта Закона.</w:t>
      </w:r>
    </w:p>
    <w:p>
      <w:pPr>
        <w:spacing w:after="60"/>
        <w:ind w:firstLine="567"/>
        <w:jc w:val="both"/>
      </w:pPr>
      <w:r>
        <w:rPr>
          <w:rFonts w:ascii="Arial" w:cs="Arial" w:eastAsia="Arial" w:hAnsi="Arial"/>
          <w:sz w:val="24"/>
          <w:szCs w:val="24"/>
        </w:rPr>
        <w:t xml:space="preserve">На основании вышеизложенного предлагаем пересмотреть редакцию части 2 статьи 23 проекта Закона, например, установить, что положения данной статьи будут применяться в части, не противоречащей статье 19 Закона.</w:t>
      </w:r>
    </w:p>
    <w:p>
      <w:pPr>
        <w:spacing w:after="60"/>
        <w:ind w:firstLine="567"/>
        <w:jc w:val="both"/>
      </w:pPr>
      <w:r>
        <w:rPr>
          <w:rFonts w:ascii="Arial" w:cs="Arial" w:eastAsia="Arial" w:hAnsi="Arial"/>
          <w:sz w:val="24"/>
          <w:szCs w:val="24"/>
        </w:rPr>
        <w:t xml:space="preserve">Одновременно при доработке указанной части статьи 23 проекта Закона предлагаем конкретизировать, каким образом лицензионная деятельность может подвергаться опасности.</w:t>
      </w:r>
    </w:p>
    <w:p>
      <w:pPr>
        <w:spacing w:after="60"/>
        <w:ind w:firstLine="567"/>
        <w:jc w:val="both"/>
      </w:pPr>
      <w:r>
        <w:rPr>
          <w:rFonts w:ascii="Arial" w:cs="Arial" w:eastAsia="Arial" w:hAnsi="Arial"/>
          <w:sz w:val="24"/>
          <w:szCs w:val="24"/>
        </w:rPr>
        <w:t xml:space="preserve">22. В части 1 статьи 24 проекта Закона слова "Правительством Кыргызской Республики" предлагаем заменить словами "уполномоченным государственным органом по регулированию топливно-энергетического комплекса".</w:t>
      </w:r>
    </w:p>
    <w:p>
      <w:pPr>
        <w:spacing w:after="60"/>
        <w:ind w:firstLine="567"/>
        <w:jc w:val="both"/>
      </w:pPr>
      <w:r>
        <w:rPr>
          <w:rFonts w:ascii="Arial" w:cs="Arial" w:eastAsia="Arial" w:hAnsi="Arial"/>
          <w:sz w:val="24"/>
          <w:szCs w:val="24"/>
        </w:rPr>
        <w:t xml:space="preserve">В части 2 статьи 24 проекта Закона слова "в специальных ситуациях" предлагаем исключить.</w:t>
      </w:r>
    </w:p>
    <w:p>
      <w:pPr>
        <w:spacing w:after="60"/>
        <w:ind w:firstLine="567"/>
        <w:jc w:val="both"/>
      </w:pPr>
      <w:r>
        <w:rPr>
          <w:rFonts w:ascii="Arial" w:cs="Arial" w:eastAsia="Arial" w:hAnsi="Arial"/>
          <w:sz w:val="24"/>
          <w:szCs w:val="24"/>
        </w:rPr>
        <w:t xml:space="preserve">23. С учетом предложения относительно изложения в новой редакции термина "системный оператор", приведенного в пункте 6 настоящего Заключения, предлагаем в пункте 1 части 3 статьи 28 проекта слова "национальной энергетической системы - специальный персонал оператора национальной электрической сети" исключить.</w:t>
      </w:r>
    </w:p>
    <w:p>
      <w:pPr>
        <w:spacing w:after="60"/>
        <w:ind w:firstLine="567"/>
        <w:jc w:val="both"/>
      </w:pPr>
      <w:r>
        <w:rPr>
          <w:rFonts w:ascii="Arial" w:cs="Arial" w:eastAsia="Arial" w:hAnsi="Arial"/>
          <w:sz w:val="24"/>
          <w:szCs w:val="24"/>
        </w:rPr>
        <w:t xml:space="preserve">24. В части 1 статьи 29 проекта Закона предлагаем указать, в полномочия какого органа будет входить утверждение Положения о системном операторе. При этом обращаем внимание, что согласно части 4 статьи 28 проекта Закона деятельность системного оператора, операторов распределительных электросетевых организаций, электрических станций и организаций, электрические сети которых имеют точку подключения с национальной электрической сетью, будут регламентироваться настоящим Законом и иными законодательными актами Кыргызской Республики, то есть законами. Вместе с тем, учитывая, что согласно статье 4 Закона Кыргызской Республики "О нормативных правовых актах Кыргызской Республики" под законами понимается нормативный правовой акт, принимаемый Жогорку Кенешем в установленном порядке и регулирующий наиболее важные общественные отношения в соответствующей сфере, предлагаем в части 4 статьи 28 проекта Закона слово "законодательными" заменить словами "нормативными правовыми".</w:t>
      </w:r>
    </w:p>
    <w:p>
      <w:pPr>
        <w:spacing w:after="60"/>
        <w:ind w:firstLine="567"/>
        <w:jc w:val="both"/>
      </w:pPr>
      <w:r>
        <w:rPr>
          <w:rFonts w:ascii="Arial" w:cs="Arial" w:eastAsia="Arial" w:hAnsi="Arial"/>
          <w:sz w:val="24"/>
          <w:szCs w:val="24"/>
        </w:rPr>
        <w:t xml:space="preserve">25. В пункте 6 части 2 статьи 33 проекта Закона слова "в объемах, определяемых уполномоченным органом" предлагаем исключить.</w:t>
      </w:r>
    </w:p>
    <w:p>
      <w:pPr>
        <w:spacing w:after="60"/>
        <w:ind w:firstLine="567"/>
        <w:jc w:val="both"/>
      </w:pPr>
      <w:r>
        <w:rPr>
          <w:rFonts w:ascii="Arial" w:cs="Arial" w:eastAsia="Arial" w:hAnsi="Arial"/>
          <w:sz w:val="24"/>
          <w:szCs w:val="24"/>
        </w:rPr>
        <w:t xml:space="preserve">26. В части 4 статьи 35 проекта Закона предлагаем пересмотреть ссылку на пункт 88, поскольку названная статья состоит из 5 частей и не содержит указанного пункта.</w:t>
      </w:r>
    </w:p>
    <w:p>
      <w:pPr>
        <w:spacing w:after="60"/>
        <w:ind w:firstLine="567"/>
        <w:jc w:val="both"/>
      </w:pPr>
      <w:r>
        <w:rPr>
          <w:rFonts w:ascii="Arial" w:cs="Arial" w:eastAsia="Arial" w:hAnsi="Arial"/>
          <w:sz w:val="24"/>
          <w:szCs w:val="24"/>
        </w:rPr>
        <w:t xml:space="preserve">27. В пункте 1 части 2 статьи 37 проекта Закона предлагаем уточнить ссыпку на статью 36, так как указанная статья проекта Закона не содержит требования в отношении субъектов оптового рынка.</w:t>
      </w:r>
    </w:p>
    <w:p>
      <w:pPr>
        <w:spacing w:after="60"/>
        <w:ind w:firstLine="567"/>
        <w:jc w:val="both"/>
      </w:pPr>
      <w:r>
        <w:rPr>
          <w:rFonts w:ascii="Arial" w:cs="Arial" w:eastAsia="Arial" w:hAnsi="Arial"/>
          <w:sz w:val="24"/>
          <w:szCs w:val="24"/>
        </w:rPr>
        <w:t xml:space="preserve">28. Для конкретизации субъектов рынка электрической энергии предлагаем часть 1 статьи 38 проекта Закона изложить в следующей редакции:</w:t>
      </w:r>
    </w:p>
    <w:p>
      <w:pPr>
        <w:spacing w:after="60"/>
        <w:ind w:firstLine="567"/>
        <w:jc w:val="both"/>
      </w:pPr>
      <w:r>
        <w:rPr>
          <w:rFonts w:ascii="Arial" w:cs="Arial" w:eastAsia="Arial" w:hAnsi="Arial"/>
          <w:sz w:val="24"/>
          <w:szCs w:val="24"/>
        </w:rPr>
        <w:t xml:space="preserve">"1. К субъектам оптового рынка электрической энергии относятся:</w:t>
      </w:r>
    </w:p>
    <w:p>
      <w:pPr>
        <w:spacing w:after="60"/>
        <w:ind w:firstLine="567"/>
        <w:jc w:val="both"/>
      </w:pPr>
      <w:r>
        <w:rPr>
          <w:rFonts w:ascii="Arial" w:cs="Arial" w:eastAsia="Arial" w:hAnsi="Arial"/>
          <w:sz w:val="24"/>
          <w:szCs w:val="24"/>
        </w:rPr>
        <w:t xml:space="preserve">1) энергопроизводящие организации;</w:t>
      </w:r>
    </w:p>
    <w:p>
      <w:pPr>
        <w:spacing w:after="60"/>
        <w:ind w:firstLine="567"/>
        <w:jc w:val="both"/>
      </w:pPr>
      <w:r>
        <w:rPr>
          <w:rFonts w:ascii="Arial" w:cs="Arial" w:eastAsia="Arial" w:hAnsi="Arial"/>
          <w:sz w:val="24"/>
          <w:szCs w:val="24"/>
        </w:rPr>
        <w:t xml:space="preserve">2) потребители электрической энергии;</w:t>
      </w:r>
    </w:p>
    <w:p>
      <w:pPr>
        <w:spacing w:after="60"/>
        <w:ind w:firstLine="567"/>
        <w:jc w:val="both"/>
      </w:pPr>
      <w:r>
        <w:rPr>
          <w:rFonts w:ascii="Arial" w:cs="Arial" w:eastAsia="Arial" w:hAnsi="Arial"/>
          <w:sz w:val="24"/>
          <w:szCs w:val="24"/>
        </w:rPr>
        <w:t xml:space="preserve">3) энергоснабжающие организации;</w:t>
      </w:r>
    </w:p>
    <w:p>
      <w:pPr>
        <w:spacing w:after="60"/>
        <w:ind w:firstLine="567"/>
        <w:jc w:val="both"/>
      </w:pPr>
      <w:r>
        <w:rPr>
          <w:rFonts w:ascii="Arial" w:cs="Arial" w:eastAsia="Arial" w:hAnsi="Arial"/>
          <w:sz w:val="24"/>
          <w:szCs w:val="24"/>
        </w:rPr>
        <w:t xml:space="preserve">4) системный оператор;</w:t>
      </w:r>
    </w:p>
    <w:p>
      <w:pPr>
        <w:spacing w:after="60"/>
        <w:ind w:firstLine="567"/>
        <w:jc w:val="both"/>
      </w:pPr>
      <w:r>
        <w:rPr>
          <w:rFonts w:ascii="Arial" w:cs="Arial" w:eastAsia="Arial" w:hAnsi="Arial"/>
          <w:sz w:val="24"/>
          <w:szCs w:val="24"/>
        </w:rPr>
        <w:t xml:space="preserve">5) расчетный центр;</w:t>
      </w:r>
    </w:p>
    <w:p>
      <w:pPr>
        <w:spacing w:after="60"/>
        <w:ind w:firstLine="567"/>
        <w:jc w:val="both"/>
      </w:pPr>
      <w:r>
        <w:rPr>
          <w:rFonts w:ascii="Arial" w:cs="Arial" w:eastAsia="Arial" w:hAnsi="Arial"/>
          <w:sz w:val="24"/>
          <w:szCs w:val="24"/>
        </w:rPr>
        <w:t xml:space="preserve">6) региональные электросетевые компании;</w:t>
      </w:r>
    </w:p>
    <w:p>
      <w:pPr>
        <w:spacing w:after="60"/>
        <w:ind w:firstLine="567"/>
        <w:jc w:val="both"/>
      </w:pPr>
      <w:r>
        <w:rPr>
          <w:rFonts w:ascii="Arial" w:cs="Arial" w:eastAsia="Arial" w:hAnsi="Arial"/>
          <w:sz w:val="24"/>
          <w:szCs w:val="24"/>
        </w:rPr>
        <w:t xml:space="preserve">7) оператор централизованной торговли электрической энергией;</w:t>
      </w:r>
    </w:p>
    <w:p>
      <w:pPr>
        <w:spacing w:after="60"/>
        <w:ind w:firstLine="567"/>
        <w:jc w:val="both"/>
      </w:pPr>
      <w:r>
        <w:rPr>
          <w:rFonts w:ascii="Arial" w:cs="Arial" w:eastAsia="Arial" w:hAnsi="Arial"/>
          <w:sz w:val="24"/>
          <w:szCs w:val="24"/>
        </w:rPr>
        <w:t xml:space="preserve">8) иные организации, осуществляющие деятельность на оптовом рынке электрической энергии.".</w:t>
      </w:r>
    </w:p>
    <w:p>
      <w:pPr>
        <w:spacing w:after="60"/>
        <w:ind w:firstLine="567"/>
        <w:jc w:val="both"/>
      </w:pPr>
      <w:r>
        <w:rPr>
          <w:rFonts w:ascii="Arial" w:cs="Arial" w:eastAsia="Arial" w:hAnsi="Arial"/>
          <w:sz w:val="24"/>
          <w:szCs w:val="24"/>
        </w:rPr>
        <w:t xml:space="preserve">29. Предлагаем пересмотреть редакцию части 6 статьи 39 проекта Закона с учетом того, что на оптовом рынке приобретается электроэнергия в объемах, обеспечивающих потребности, обусловленные ее потерями при передаче.</w:t>
      </w:r>
    </w:p>
    <w:p>
      <w:pPr>
        <w:spacing w:after="60"/>
        <w:ind w:firstLine="567"/>
        <w:jc w:val="both"/>
      </w:pPr>
      <w:r>
        <w:rPr>
          <w:rFonts w:ascii="Arial" w:cs="Arial" w:eastAsia="Arial" w:hAnsi="Arial"/>
          <w:sz w:val="24"/>
          <w:szCs w:val="24"/>
        </w:rPr>
        <w:t xml:space="preserve">30. В части 2 статьи 41 проекта Закона слова "уставом акционерного общества "Кыргызский энергетический расчетный центр" предлагаем заменить словами "его уставом".</w:t>
      </w:r>
    </w:p>
    <w:p>
      <w:pPr>
        <w:spacing w:after="60"/>
        <w:ind w:firstLine="567"/>
        <w:jc w:val="both"/>
      </w:pPr>
      <w:r>
        <w:rPr>
          <w:rFonts w:ascii="Arial" w:cs="Arial" w:eastAsia="Arial" w:hAnsi="Arial"/>
          <w:sz w:val="24"/>
          <w:szCs w:val="24"/>
        </w:rPr>
        <w:t xml:space="preserve">31. Пункт 3 части 5 статьи 42 проекта Закона предлагаем исключить, поскольку расчет и распределение потерь не входят в компетенцию расчетного центра. Пункт 5 указанной части предлагаем исключить в связи с отсутствием балансирующего рынка и балансирующей электрической энергии, а также рынка системных и вспомогательных услуг.</w:t>
      </w:r>
    </w:p>
    <w:p>
      <w:pPr>
        <w:spacing w:after="60"/>
        <w:ind w:firstLine="567"/>
        <w:jc w:val="both"/>
      </w:pPr>
      <w:r>
        <w:rPr>
          <w:rFonts w:ascii="Arial" w:cs="Arial" w:eastAsia="Arial" w:hAnsi="Arial"/>
          <w:sz w:val="24"/>
          <w:szCs w:val="24"/>
        </w:rPr>
        <w:t xml:space="preserve">32. Частью 6 статьи 46 проекта Закона предусматривается, что продажа электрической энергии (мощности) на экспорт осуществляется в открытой недискриминационной форме посредством открытых аукционных торгов и/или через электроэнергетические биржи в странах Центральной Азии.</w:t>
      </w:r>
    </w:p>
    <w:p>
      <w:pPr>
        <w:spacing w:after="60"/>
        <w:ind w:firstLine="567"/>
        <w:jc w:val="both"/>
      </w:pPr>
      <w:r>
        <w:rPr>
          <w:rFonts w:ascii="Arial" w:cs="Arial" w:eastAsia="Arial" w:hAnsi="Arial"/>
          <w:sz w:val="24"/>
          <w:szCs w:val="24"/>
        </w:rPr>
        <w:t xml:space="preserve">Однако, Кыргызская Республика с 12 августа 2015 года является членом Евразийского экономического союза. Согласно статье 81 Договора о Евразийском экономическом союзе от 29 мая 2014 года государства-члены заключают международный договор в рамках Союза о формировании общего электроэнергетического рынка, базирующийся на положениях утвержденных концепции и программы формирования общего электроэнергетического рынка Союза.</w:t>
      </w:r>
    </w:p>
    <w:p>
      <w:pPr>
        <w:spacing w:after="60"/>
        <w:ind w:firstLine="567"/>
        <w:jc w:val="both"/>
      </w:pPr>
      <w:r>
        <w:rPr>
          <w:rFonts w:ascii="Arial" w:cs="Arial" w:eastAsia="Arial" w:hAnsi="Arial"/>
          <w:sz w:val="24"/>
          <w:szCs w:val="24"/>
        </w:rPr>
        <w:t xml:space="preserve">В этой связи, в целях исключения барьеров при формировании общего электроэнергетического рынка Союза, в части 6 статьи 46 проекта Закона слова "в странах Центральной Азии" предлагаем исключить.</w:t>
      </w:r>
    </w:p>
    <w:p>
      <w:pPr>
        <w:spacing w:after="60"/>
        <w:ind w:firstLine="567"/>
        <w:jc w:val="both"/>
      </w:pPr>
      <w:r>
        <w:rPr>
          <w:rFonts w:ascii="Arial" w:cs="Arial" w:eastAsia="Arial" w:hAnsi="Arial"/>
          <w:sz w:val="24"/>
          <w:szCs w:val="24"/>
        </w:rPr>
        <w:t xml:space="preserve">33. Часть 1 статьи 48 проекта Закона предлагаем исключить, так как понятийный аппарат терминов, используемых в проекте Закона, содержится в статье 3 проекта Закона. При этом в указанной статье раскрывается термин "розничные рынки электрической энергии".</w:t>
      </w:r>
    </w:p>
    <w:p>
      <w:pPr>
        <w:spacing w:after="60"/>
        <w:ind w:firstLine="567"/>
        <w:jc w:val="both"/>
      </w:pPr>
      <w:r>
        <w:rPr>
          <w:rFonts w:ascii="Arial" w:cs="Arial" w:eastAsia="Arial" w:hAnsi="Arial"/>
          <w:sz w:val="24"/>
          <w:szCs w:val="24"/>
        </w:rPr>
        <w:t xml:space="preserve">Частью 4 указанной статьи проекта Закона утверждение правил розничного рынка отнесено к компетенции Правительства Кыргызской Республики. Возложение на Правительство Кыргызской Республики указанного полномочия соответствует конституционному Закону Кыргызской Республики "О Правительстве Кыргызской Республике" и Закону Кыргызской Республики "О нормативных правовых актах Кыргызской Республики". Вместе с тем, статьей 8 проекта Закона предлагается установить, что за разработку и утверждение правил и основных положений функционирования оптового и розничного рынков ответственен уполномоченный государственный орган по выработке политики в сфере энергетике. Таким образом, названное положение статьи 8 проекта Закона противоречит вышеуказанным законам Кыргызской Республики и части 4 статьи 48 проекта Закона.</w:t>
      </w:r>
    </w:p>
    <w:p>
      <w:pPr>
        <w:spacing w:after="60"/>
        <w:ind w:firstLine="567"/>
        <w:jc w:val="both"/>
      </w:pPr>
      <w:r>
        <w:rPr>
          <w:rFonts w:ascii="Arial" w:cs="Arial" w:eastAsia="Arial" w:hAnsi="Arial"/>
          <w:sz w:val="24"/>
          <w:szCs w:val="24"/>
        </w:rPr>
        <w:t xml:space="preserve">34. В пункте 4 части 2 статьи 52 проекта Закона предлагаем конкретизировать использование словосочетания "нормативные правовые документы", поскольку не ясно, идет ли в данном случае речь о нормативных правовых актах либо о правовых документах.</w:t>
      </w:r>
    </w:p>
    <w:p>
      <w:pPr>
        <w:spacing w:after="60"/>
        <w:ind w:firstLine="567"/>
        <w:jc w:val="both"/>
      </w:pPr>
      <w:r>
        <w:rPr>
          <w:rFonts w:ascii="Arial" w:cs="Arial" w:eastAsia="Arial" w:hAnsi="Arial"/>
          <w:sz w:val="24"/>
          <w:szCs w:val="24"/>
        </w:rPr>
        <w:t xml:space="preserve">35. В целях недопущения случаев вмешательства государственных органов в деятельность совета рынка, являющегося некоммерческой организацией, предлагаем исключить из состава указанной организации представителей от уполномоченного государственного органа по выработке политики в сфере энергетики и уполномоченного государственного органа по регулированию топливно-энергетического комплекса. В этой связи предлагаем пункты 1 и 2 части 1 статьи 54 проекта Закона исключить.</w:t>
      </w:r>
    </w:p>
    <w:p>
      <w:pPr>
        <w:spacing w:after="60"/>
        <w:ind w:firstLine="567"/>
        <w:jc w:val="both"/>
      </w:pPr>
      <w:r>
        <w:rPr>
          <w:rFonts w:ascii="Arial" w:cs="Arial" w:eastAsia="Arial" w:hAnsi="Arial"/>
          <w:sz w:val="24"/>
          <w:szCs w:val="24"/>
        </w:rPr>
        <w:t xml:space="preserve">При этом в пункте 6 указанной части предлагаем уточнить, кем будет утверждаться Положение о совете электроэнергетического рынка.</w:t>
      </w:r>
    </w:p>
    <w:p>
      <w:pPr>
        <w:spacing w:after="60"/>
        <w:ind w:firstLine="567"/>
        <w:jc w:val="both"/>
      </w:pPr>
      <w:r>
        <w:rPr>
          <w:rFonts w:ascii="Arial" w:cs="Arial" w:eastAsia="Arial" w:hAnsi="Arial"/>
          <w:sz w:val="24"/>
          <w:szCs w:val="24"/>
        </w:rPr>
        <w:t xml:space="preserve">36. Частью 1 статьи 55 проекта Закона предусматривается, что уполномоченный государственный орган по регулированию топливно-энергетического комплекса разрабатывает типовой договор для населения на электроснабжение, поставку и передачу, регламентирующий права и обязанности гарантирующих поставщиков, распределительных электросетевых или электросбытовых организаций и потребителей. Согласно части 3 указанной статьи проекта Закона типовые договоры утверждаются в соответствии с законодательством. Вместе с тем, названная статья не определяет, в полномочия какого органа будет входить утверждение названных договоров. Также учитывая, что типовые договоры направлены на установление единообразных условий и служат в качестве образца для составления соответствующих договоров, неясно, из каких критериев частью 1 статьи 55 проекта Закона устанавливается, что положения типового договора не могут быть изменены ни одной из сторон договора даже в том случае, если соответствующие условия будут основываться на положениях данного Закона и соответствовать иным нормативным правовым актам.</w:t>
      </w:r>
    </w:p>
    <w:p>
      <w:pPr>
        <w:spacing w:after="60"/>
        <w:ind w:firstLine="567"/>
        <w:jc w:val="both"/>
      </w:pPr>
      <w:r>
        <w:rPr>
          <w:rFonts w:ascii="Arial" w:cs="Arial" w:eastAsia="Arial" w:hAnsi="Arial"/>
          <w:sz w:val="24"/>
          <w:szCs w:val="24"/>
        </w:rPr>
        <w:t xml:space="preserve">При этом предлагаем вышеуказанную статью проекта Закона дополнить частью 4 следующего содержания:</w:t>
      </w:r>
    </w:p>
    <w:p>
      <w:pPr>
        <w:spacing w:after="60"/>
        <w:ind w:firstLine="567"/>
        <w:jc w:val="both"/>
      </w:pPr>
      <w:r>
        <w:rPr>
          <w:rFonts w:ascii="Arial" w:cs="Arial" w:eastAsia="Arial" w:hAnsi="Arial"/>
          <w:sz w:val="24"/>
          <w:szCs w:val="24"/>
        </w:rPr>
        <w:t xml:space="preserve">"4. Типовой договор может быть расторгнут в случаях, предусмотренных Гражданским </w:t>
      </w:r>
      <w:hyperlink w:history="1" r:id="rIddf9doezq0euvvlzsmtps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Гарантирующий поставщик вправе отказаться от заключения договора на электроснабжение с гражданином, с которым договор ранее был расторгнут по причинам систематического неисполнения договорных обязательств, в результате которых поставщику был причинен ущерб или убытки, не возмещенные данным гражданином.".</w:t>
      </w:r>
    </w:p>
    <w:p>
      <w:pPr>
        <w:spacing w:after="60"/>
        <w:ind w:firstLine="567"/>
        <w:jc w:val="both"/>
      </w:pPr>
      <w:r>
        <w:rPr>
          <w:rFonts w:ascii="Arial" w:cs="Arial" w:eastAsia="Arial" w:hAnsi="Arial"/>
          <w:sz w:val="24"/>
          <w:szCs w:val="24"/>
        </w:rPr>
        <w:t xml:space="preserve">37. Частью 4 статьи 57 проекта Закона предусмотрено, что абоненты электроэнергии могут производить оплату за потребленную электроэнергию с использованием электронных счетчиков, поддерживающих функцию предоплаты, путем внесения предварительной оплаты электроэнергии в соответствии с условиями договора. При этом частью 5 названной статьи проекта устанавливается, что при наличии предварительной оплаты потребитель получает электроэнергию по тарифу, действовавшему на момент внесения предварительной оплаты.</w:t>
      </w:r>
    </w:p>
    <w:p>
      <w:pPr>
        <w:spacing w:after="60"/>
        <w:ind w:firstLine="567"/>
        <w:jc w:val="both"/>
      </w:pPr>
      <w:r>
        <w:rPr>
          <w:rFonts w:ascii="Arial" w:cs="Arial" w:eastAsia="Arial" w:hAnsi="Arial"/>
          <w:sz w:val="24"/>
          <w:szCs w:val="24"/>
        </w:rPr>
        <w:t xml:space="preserve">Учитывая, что указанные положения оформлены в качестве самостоятельных частей, не ясно, является ли часть 5 продолжением части 4 либо призвана определить условия предоплаты отдельно.</w:t>
      </w:r>
    </w:p>
    <w:p>
      <w:pPr>
        <w:spacing w:after="60"/>
        <w:ind w:firstLine="567"/>
        <w:jc w:val="both"/>
      </w:pPr>
      <w:r>
        <w:rPr>
          <w:rFonts w:ascii="Arial" w:cs="Arial" w:eastAsia="Arial" w:hAnsi="Arial"/>
          <w:sz w:val="24"/>
          <w:szCs w:val="24"/>
        </w:rPr>
        <w:t xml:space="preserve">В этой связи, в целях предотвращения возникновений затруднений в применении названных положений на практике, предлагаем часть 4 статьи 57 проекта Закона изложить в следующей редакции:</w:t>
      </w:r>
    </w:p>
    <w:p>
      <w:pPr>
        <w:spacing w:after="60"/>
        <w:ind w:firstLine="567"/>
        <w:jc w:val="both"/>
      </w:pPr>
      <w:r>
        <w:rPr>
          <w:rFonts w:ascii="Arial" w:cs="Arial" w:eastAsia="Arial" w:hAnsi="Arial"/>
          <w:sz w:val="24"/>
          <w:szCs w:val="24"/>
        </w:rPr>
        <w:t xml:space="preserve">"4. Абоненты производят оплату за электроэнергию по тарифам, действующим на период потребления, согласно показаниям индивидуальной системы коммерческого учета электрической энергии, один раз в календарный месяц, либо с использованием электронных систем коммерческого учета, поддерживающих функцию предварительной оплаты, путем внесения предварительной оплаты за электроэнергию в соответствии с условиями договора.".</w:t>
      </w:r>
    </w:p>
    <w:p>
      <w:pPr>
        <w:spacing w:after="60"/>
        <w:ind w:firstLine="567"/>
        <w:jc w:val="both"/>
      </w:pPr>
      <w:r>
        <w:rPr>
          <w:rFonts w:ascii="Arial" w:cs="Arial" w:eastAsia="Arial" w:hAnsi="Arial"/>
          <w:sz w:val="24"/>
          <w:szCs w:val="24"/>
        </w:rPr>
        <w:t xml:space="preserve">Часть 5 статьи 57 проекта Закона предлагаем исключить.</w:t>
      </w:r>
    </w:p>
    <w:p>
      <w:pPr>
        <w:spacing w:after="60"/>
        <w:ind w:firstLine="567"/>
        <w:jc w:val="both"/>
      </w:pPr>
      <w:r>
        <w:rPr>
          <w:rFonts w:ascii="Arial" w:cs="Arial" w:eastAsia="Arial" w:hAnsi="Arial"/>
          <w:sz w:val="24"/>
          <w:szCs w:val="24"/>
        </w:rPr>
        <w:t xml:space="preserve">Частью 7 статьи 57 проекта Закона устанавливается, что генерирующий поставщик, распределительная электросетевая организация или энергосбытовая организация не имеют права допускать возникновения задолженности по оплате за электроэнергию потребителями продолжительностью более 45 календарных дней. Вместе с тем проектом Закона не регулируются последствия допуска задолженности более указанного срока, ответственность названных компаний, а также механизм, непозволяющий допускать возникновение указанной задолженности на период более 45 календарных дней.</w:t>
      </w:r>
    </w:p>
    <w:p>
      <w:pPr>
        <w:spacing w:after="60"/>
        <w:ind w:firstLine="567"/>
        <w:jc w:val="both"/>
      </w:pPr>
      <w:r>
        <w:rPr>
          <w:rFonts w:ascii="Arial" w:cs="Arial" w:eastAsia="Arial" w:hAnsi="Arial"/>
          <w:sz w:val="24"/>
          <w:szCs w:val="24"/>
        </w:rPr>
        <w:t xml:space="preserve">38. Положения части 1 статьи 58 проекта Закона не соответствуют требованиям:</w:t>
      </w:r>
    </w:p>
    <w:p>
      <w:pPr>
        <w:spacing w:after="60"/>
        <w:ind w:firstLine="567"/>
        <w:jc w:val="both"/>
      </w:pPr>
      <w:r>
        <w:rPr>
          <w:rFonts w:ascii="Arial" w:cs="Arial" w:eastAsia="Arial" w:hAnsi="Arial"/>
          <w:sz w:val="24"/>
          <w:szCs w:val="24"/>
        </w:rPr>
        <w:t xml:space="preserve">- пункта 1 </w:t>
      </w:r>
      <w:r>
        <w:rPr>
          <w:rFonts w:ascii="Arial" w:cs="Arial" w:eastAsia="Arial" w:hAnsi="Arial"/>
          <w:sz w:val="24"/>
          <w:szCs w:val="24"/>
        </w:rPr>
        <w:t xml:space="preserve">статьи 84</w:t>
      </w:r>
      <w:r>
        <w:rPr>
          <w:rFonts w:ascii="Arial" w:cs="Arial" w:eastAsia="Arial" w:hAnsi="Arial"/>
          <w:sz w:val="24"/>
          <w:szCs w:val="24"/>
        </w:rPr>
        <w:t xml:space="preserve"> Гражданского </w:t>
      </w:r>
      <w:hyperlink w:history="1" r:id="rIdekhmzx_vhvlaug5aoc0c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согласно которому отдельными видами деятельности, перечень которых определяется законом, юридическое лицо может заниматься только на основании специального разрешения (лицензии);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статьи 31</w:t>
      </w:r>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 в соответствии с которой лицензия и (или) разрешение прекращают действие, в том числе, в случае подачи заявления лицензиатом (правопреемником лицензиата) в случае добровольного прекращения им осуществления лицензируемого вида деятельности. При прекращении действия лицензии и (или) разрешения лицензиар вносит сведения о прекращении действия лицензии и (или) разрешения в реестр. Лицензия и (или) разрешение признаются прекратившими действие с даты внесения сведений в реестр.</w:t>
      </w:r>
    </w:p>
    <w:p>
      <w:pPr>
        <w:spacing w:after="60"/>
        <w:ind w:firstLine="567"/>
        <w:jc w:val="both"/>
      </w:pPr>
      <w:r>
        <w:rPr>
          <w:rFonts w:ascii="Arial" w:cs="Arial" w:eastAsia="Arial" w:hAnsi="Arial"/>
          <w:sz w:val="24"/>
          <w:szCs w:val="24"/>
        </w:rPr>
        <w:t xml:space="preserve">Кроме того, указанные положения входят в противоречие со статьей 12 проекта Закона, согласно которой запрещается осуществление экономической деятельности без получения соответствующей лицензии.</w:t>
      </w:r>
    </w:p>
    <w:p>
      <w:pPr>
        <w:spacing w:after="60"/>
        <w:ind w:firstLine="567"/>
        <w:jc w:val="both"/>
      </w:pPr>
      <w:r>
        <w:rPr>
          <w:rFonts w:ascii="Arial" w:cs="Arial" w:eastAsia="Arial" w:hAnsi="Arial"/>
          <w:sz w:val="24"/>
          <w:szCs w:val="24"/>
        </w:rPr>
        <w:t xml:space="preserve">39. Статья 59 проекта Закона дублирует положения, содержащиеся в статье 77 проекта Закона, устанавливающей ответственность за нарушение законодательства в области электроэнергетики, в том числе за хищение электрической или тепловой энергии.</w:t>
      </w:r>
    </w:p>
    <w:p>
      <w:pPr>
        <w:spacing w:after="60"/>
        <w:ind w:firstLine="567"/>
        <w:jc w:val="both"/>
      </w:pPr>
      <w:r>
        <w:rPr>
          <w:rFonts w:ascii="Arial" w:cs="Arial" w:eastAsia="Arial" w:hAnsi="Arial"/>
          <w:sz w:val="24"/>
          <w:szCs w:val="24"/>
        </w:rPr>
        <w:t xml:space="preserve">40. Первое предложение части 1 статьи 61 проекта Закона предлагаем изложить в следующей редакции:</w:t>
      </w:r>
    </w:p>
    <w:p>
      <w:pPr>
        <w:spacing w:after="60"/>
        <w:ind w:firstLine="567"/>
        <w:jc w:val="both"/>
      </w:pPr>
      <w:r>
        <w:rPr>
          <w:rFonts w:ascii="Arial" w:cs="Arial" w:eastAsia="Arial" w:hAnsi="Arial"/>
          <w:sz w:val="24"/>
          <w:szCs w:val="24"/>
        </w:rPr>
        <w:t xml:space="preserve">"Любой проект, относящийся к производству гидроэлектроэнергии, должен пройти предварительное исследование относительно возможности использования воды в неэнергетических целях.".</w:t>
      </w:r>
    </w:p>
    <w:p>
      <w:pPr>
        <w:spacing w:after="120"/>
        <w:ind w:firstLine="397"/>
        <w:jc w:val="both"/>
      </w:pPr>
      <w:r>
        <w:rPr>
          <w:rFonts w:ascii="Arial" w:cs="Arial" w:eastAsia="Arial" w:hAnsi="Arial"/>
          <w:sz w:val="24"/>
          <w:szCs w:val="24"/>
        </w:rPr>
        <w:t xml:space="preserve">41. Предлагаем пересмотреть редакцию пункта 4 части 1 статьи 62 проекта Закона, поскольку уполномоченный государственный орган по регулированию топливно-энергетического комплекса не правомочен выдавать лицензию на строительство дублирующих (шунтирующих) линий электропередачи и подстанций напряжением 110 кВ. Кроме того, данный пункт необходимо пересмотреть с учетом требований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42. Согласно части 2 </w:t>
      </w:r>
      <w:r>
        <w:rPr>
          <w:rFonts w:ascii="Arial" w:cs="Arial" w:eastAsia="Arial" w:hAnsi="Arial"/>
          <w:sz w:val="24"/>
          <w:szCs w:val="24"/>
        </w:rPr>
        <w:t xml:space="preserve">статьи 12</w:t>
      </w:r>
      <w:r>
        <w:rPr>
          <w:rFonts w:ascii="Arial" w:cs="Arial" w:eastAsia="Arial" w:hAnsi="Arial"/>
          <w:sz w:val="24"/>
          <w:szCs w:val="24"/>
        </w:rPr>
        <w:t xml:space="preserve"> </w:t>
      </w:r>
      <w:hyperlink w:history="1" r:id="rIdbv1khdmobqrmrlaae8jq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изъятие имущества для общественных нужд, определенных в законе, может быть произведено по решению суда со справедливым и предварительным обеспечением возмещения стоимости этого имущества и других убытков, причиняемых в результате отчуждения.</w:t>
      </w:r>
    </w:p>
    <w:p>
      <w:pPr>
        <w:spacing w:after="120"/>
        <w:jc w:val="both"/>
      </w:pPr>
      <w:r>
        <w:rPr>
          <w:rFonts w:ascii="Arial" w:cs="Arial" w:eastAsia="Arial" w:hAnsi="Arial"/>
          <w:sz w:val="24"/>
          <w:szCs w:val="24"/>
        </w:rPr>
        <w:t xml:space="preserve">В свою очередь пунктом 1 </w:t>
      </w:r>
      <w:r>
        <w:rPr>
          <w:rFonts w:ascii="Arial" w:cs="Arial" w:eastAsia="Arial" w:hAnsi="Arial"/>
          <w:sz w:val="24"/>
          <w:szCs w:val="24"/>
        </w:rPr>
        <w:t xml:space="preserve">статьи 66</w:t>
      </w:r>
      <w:r>
        <w:rPr>
          <w:rFonts w:ascii="Arial" w:cs="Arial" w:eastAsia="Arial" w:hAnsi="Arial"/>
          <w:sz w:val="24"/>
          <w:szCs w:val="24"/>
        </w:rPr>
        <w:t xml:space="preserve"> Земельного кодекса Кыргызской Республики установлено, что изъятие земельного участка допускается в случаях:</w:t>
      </w:r>
    </w:p>
    <w:p>
      <w:pPr>
        <w:spacing w:after="60"/>
        <w:ind w:firstLine="567"/>
        <w:jc w:val="both"/>
      </w:pPr>
      <w:r>
        <w:rPr>
          <w:rFonts w:ascii="Arial" w:cs="Arial" w:eastAsia="Arial" w:hAnsi="Arial"/>
          <w:sz w:val="24"/>
          <w:szCs w:val="24"/>
        </w:rPr>
        <w:t xml:space="preserve">1) использования земельного участка в нарушение его целевого назначения;</w:t>
      </w:r>
    </w:p>
    <w:p>
      <w:pPr>
        <w:spacing w:after="60"/>
        <w:ind w:firstLine="567"/>
        <w:jc w:val="both"/>
      </w:pPr>
      <w:r>
        <w:rPr>
          <w:rFonts w:ascii="Arial" w:cs="Arial" w:eastAsia="Arial" w:hAnsi="Arial"/>
          <w:sz w:val="24"/>
          <w:szCs w:val="24"/>
        </w:rPr>
        <w:t xml:space="preserve">2) изъятия (выкупа) земельного участка для государственных и общественных нужд в соответствии с настоящей главой;</w:t>
      </w:r>
    </w:p>
    <w:p>
      <w:pPr>
        <w:spacing w:after="60"/>
        <w:ind w:firstLine="567"/>
        <w:jc w:val="both"/>
      </w:pPr>
      <w:r>
        <w:rPr>
          <w:rFonts w:ascii="Arial" w:cs="Arial" w:eastAsia="Arial" w:hAnsi="Arial"/>
          <w:sz w:val="24"/>
          <w:szCs w:val="24"/>
        </w:rPr>
        <w:t xml:space="preserve">3) неиспользования земельного участка или неиспользования части земельного участка, предоставленного для сельскохозяйственного производства, в течение трех лет;</w:t>
      </w:r>
    </w:p>
    <w:p>
      <w:pPr>
        <w:spacing w:after="60"/>
        <w:ind w:firstLine="567"/>
        <w:jc w:val="both"/>
      </w:pPr>
      <w:r>
        <w:rPr>
          <w:rFonts w:ascii="Arial" w:cs="Arial" w:eastAsia="Arial" w:hAnsi="Arial"/>
          <w:sz w:val="24"/>
          <w:szCs w:val="24"/>
        </w:rPr>
        <w:t xml:space="preserve">4) неиспользования земельного участка, предоставленного для несельскохозяйственного производства, в течение 5 лет;</w:t>
      </w:r>
    </w:p>
    <w:p>
      <w:pPr>
        <w:spacing w:after="60"/>
        <w:ind w:firstLine="567"/>
        <w:jc w:val="both"/>
      </w:pPr>
      <w:r>
        <w:rPr>
          <w:rFonts w:ascii="Arial" w:cs="Arial" w:eastAsia="Arial" w:hAnsi="Arial"/>
          <w:sz w:val="24"/>
          <w:szCs w:val="24"/>
        </w:rPr>
        <w:t xml:space="preserve">5) невнесения земельного налога в течение сроков, установленных налоговым законодательством;</w:t>
      </w:r>
    </w:p>
    <w:p>
      <w:pPr>
        <w:spacing w:after="60"/>
        <w:ind w:firstLine="567"/>
        <w:jc w:val="both"/>
      </w:pPr>
      <w:r>
        <w:rPr>
          <w:rFonts w:ascii="Arial" w:cs="Arial" w:eastAsia="Arial" w:hAnsi="Arial"/>
          <w:sz w:val="24"/>
          <w:szCs w:val="24"/>
        </w:rPr>
        <w:t xml:space="preserve">6) невнесения страховых взносов в течение сроков, установленных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7) прекращения (аннулирования) государственным органом по недропользованию прав пользования недрами в случаях, предусмотренных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недрах".</w:t>
      </w:r>
    </w:p>
    <w:p>
      <w:pPr>
        <w:spacing w:after="60"/>
        <w:ind w:firstLine="567"/>
        <w:jc w:val="both"/>
      </w:pPr>
      <w:r>
        <w:rPr>
          <w:rFonts w:ascii="Arial" w:cs="Arial" w:eastAsia="Arial" w:hAnsi="Arial"/>
          <w:sz w:val="24"/>
          <w:szCs w:val="24"/>
        </w:rPr>
        <w:t xml:space="preserve">В соответствии с пунктом 4 названной статьи изъятие земельного участка для государственных и общественных нужд производится после выплаты стоимости права на земельный участок и возмещения убытков.</w:t>
      </w:r>
    </w:p>
    <w:p>
      <w:pPr>
        <w:spacing w:after="60"/>
        <w:ind w:firstLine="567"/>
        <w:jc w:val="both"/>
      </w:pPr>
      <w:r>
        <w:rPr>
          <w:rFonts w:ascii="Arial" w:cs="Arial" w:eastAsia="Arial" w:hAnsi="Arial"/>
          <w:sz w:val="24"/>
          <w:szCs w:val="24"/>
        </w:rPr>
        <w:t xml:space="preserve">На основании вышеизложенного предлагаем пересмотреть положения статьи 68 проекта Закона с учетом вышеуказанных положений.</w:t>
      </w:r>
    </w:p>
    <w:p>
      <w:pPr>
        <w:spacing w:after="60"/>
        <w:ind w:firstLine="567"/>
        <w:jc w:val="both"/>
      </w:pPr>
      <w:r>
        <w:rPr>
          <w:rFonts w:ascii="Arial" w:cs="Arial" w:eastAsia="Arial" w:hAnsi="Arial"/>
          <w:sz w:val="24"/>
          <w:szCs w:val="24"/>
        </w:rPr>
        <w:t xml:space="preserve">43. Также следует отметить, что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лицензионно-разрешительной системе в Кыргызской Республике", устанавливающим исчерпывающий перечень лицензий и разрешений, не предусмотрено разрешение на водопользование, ввиду чего часть 2 статьи 71 проекта Закона предлагаем пересмотреть. При этом, руководствуясь положениями </w:t>
      </w:r>
      <w:r>
        <w:rPr>
          <w:rFonts w:ascii="Arial" w:cs="Arial" w:eastAsia="Arial" w:hAnsi="Arial"/>
          <w:sz w:val="24"/>
          <w:szCs w:val="24"/>
        </w:rPr>
        <w:t xml:space="preserve">статьи 15 </w:t>
      </w:r>
      <w:r>
        <w:rPr>
          <w:rFonts w:ascii="Arial" w:cs="Arial" w:eastAsia="Arial" w:hAnsi="Arial"/>
          <w:sz w:val="24"/>
          <w:szCs w:val="24"/>
        </w:rPr>
        <w:t xml:space="preserve">указанного Закона, предлагаем в названной части слово "выработка" заменить словом "производство".</w:t>
      </w:r>
    </w:p>
    <w:p>
      <w:pPr>
        <w:spacing w:after="60"/>
        <w:ind w:firstLine="567"/>
        <w:jc w:val="both"/>
      </w:pPr>
      <w:r>
        <w:rPr>
          <w:rFonts w:ascii="Arial" w:cs="Arial" w:eastAsia="Arial" w:hAnsi="Arial"/>
          <w:sz w:val="24"/>
          <w:szCs w:val="24"/>
        </w:rPr>
        <w:t xml:space="preserve">44. Поскольку досудебное разрешение споров на основании поданной жалобы на действие или бездействие административного органа регулируется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предлагаем статью 78 проекта Закона исключить.</w:t>
      </w:r>
    </w:p>
    <w:p>
      <w:pPr>
        <w:spacing w:after="60"/>
        <w:ind w:firstLine="567"/>
        <w:jc w:val="both"/>
      </w:pPr>
      <w:r>
        <w:rPr>
          <w:rFonts w:ascii="Arial" w:cs="Arial" w:eastAsia="Arial" w:hAnsi="Arial"/>
          <w:sz w:val="24"/>
          <w:szCs w:val="24"/>
        </w:rPr>
        <w:t xml:space="preserve">45. Учитывая требования нормотворческой техники, изложенные в </w:t>
      </w:r>
      <w:r>
        <w:rPr>
          <w:rFonts w:ascii="Arial" w:cs="Arial" w:eastAsia="Arial" w:hAnsi="Arial"/>
          <w:sz w:val="24"/>
          <w:szCs w:val="24"/>
        </w:rPr>
        <w:t xml:space="preserve">главе 3</w:t>
      </w:r>
      <w:r>
        <w:rPr>
          <w:rFonts w:ascii="Arial" w:cs="Arial" w:eastAsia="Arial" w:hAnsi="Arial"/>
          <w:sz w:val="24"/>
          <w:szCs w:val="24"/>
        </w:rPr>
        <w:t xml:space="preserve"> </w:t>
      </w:r>
      <w:hyperlink w:history="1" r:id="rId4cuzbhsgwpg4qj6_tvjq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а также в целях правильного изложения положений проекта Закона предлагаем:</w:t>
      </w:r>
    </w:p>
    <w:p>
      <w:pPr>
        <w:spacing w:after="60"/>
        <w:ind w:firstLine="567"/>
        <w:jc w:val="both"/>
      </w:pPr>
      <w:r>
        <w:rPr>
          <w:rFonts w:ascii="Arial" w:cs="Arial" w:eastAsia="Arial" w:hAnsi="Arial"/>
          <w:sz w:val="24"/>
          <w:szCs w:val="24"/>
        </w:rPr>
        <w:t xml:space="preserve">- использовать в проекте Закона единую терминологию, а также четкие и однозначные понятия. Так, например, в проекте Закона используются следующие понятия: "тепловая энергия" и "теплоэнергия"; "электрическая энергия" и "электроэнергия"; "уполномоченный государственный орган по регулированию топливно-энергетического комплекса", "уполномоченный орган по регулированию топливно-энергетического комплекса", "уполномоченный государственный орган по регулированию ТЭК", "уполномоченный государственный орган по регулированию субъектов топливно-энергетического комплекса", "уполномоченный государственный орган по выработке политики в сфере энергетики", "государственный орган в области энергетики", "государственный орган по вопросам энергетики" и - "уполномоченный государственный орган". Использование разных понятий в проекте Закона на практике может привести к возникновению различного рода затруднений;</w:t>
      </w:r>
    </w:p>
    <w:p>
      <w:pPr>
        <w:spacing w:after="60"/>
        <w:ind w:firstLine="567"/>
        <w:jc w:val="both"/>
      </w:pPr>
      <w:r>
        <w:rPr>
          <w:rFonts w:ascii="Arial" w:cs="Arial" w:eastAsia="Arial" w:hAnsi="Arial"/>
          <w:sz w:val="24"/>
          <w:szCs w:val="24"/>
        </w:rPr>
        <w:t xml:space="preserve">- по тексту проекта Закона пересмотреть отсылочные ссылки на законодательство в целом, слова "как правило" исключить, расшифровать используемые сокращения;</w:t>
      </w:r>
    </w:p>
    <w:p>
      <w:pPr>
        <w:spacing w:after="60"/>
        <w:ind w:firstLine="567"/>
        <w:jc w:val="both"/>
      </w:pPr>
      <w:r>
        <w:rPr>
          <w:rFonts w:ascii="Arial" w:cs="Arial" w:eastAsia="Arial" w:hAnsi="Arial"/>
          <w:sz w:val="24"/>
          <w:szCs w:val="24"/>
        </w:rPr>
        <w:t xml:space="preserve">- в частях 3 и 4 статьи 64 проекта Закона слово "первой" заменить цифрой "1";</w:t>
      </w:r>
    </w:p>
    <w:p>
      <w:pPr>
        <w:spacing w:after="60"/>
        <w:ind w:firstLine="567"/>
        <w:jc w:val="both"/>
      </w:pPr>
      <w:r>
        <w:rPr>
          <w:rFonts w:ascii="Arial" w:cs="Arial" w:eastAsia="Arial" w:hAnsi="Arial"/>
          <w:sz w:val="24"/>
          <w:szCs w:val="24"/>
        </w:rPr>
        <w:t xml:space="preserve">- в статье 66 проекта Закона слово "порядке" исключить;</w:t>
      </w:r>
    </w:p>
    <w:p>
      <w:pPr>
        <w:spacing w:after="60"/>
        <w:ind w:firstLine="567"/>
        <w:jc w:val="both"/>
      </w:pPr>
      <w:r>
        <w:rPr>
          <w:rFonts w:ascii="Arial" w:cs="Arial" w:eastAsia="Arial" w:hAnsi="Arial"/>
          <w:sz w:val="24"/>
          <w:szCs w:val="24"/>
        </w:rPr>
        <w:t xml:space="preserve">- в части 1 статьи 70 проекта Закона слова "- малой энергетики" исключить;</w:t>
      </w:r>
    </w:p>
    <w:p>
      <w:pPr>
        <w:spacing w:after="60"/>
        <w:ind w:firstLine="567"/>
        <w:jc w:val="both"/>
      </w:pPr>
      <w:r>
        <w:rPr>
          <w:rFonts w:ascii="Arial" w:cs="Arial" w:eastAsia="Arial" w:hAnsi="Arial"/>
          <w:sz w:val="24"/>
          <w:szCs w:val="24"/>
        </w:rPr>
        <w:t xml:space="preserve">- в части 2 статьи 70 проекта Закона слова "(далее Возобновляемые источники энергии - ВИЭ)" исключить;</w:t>
      </w:r>
    </w:p>
    <w:p>
      <w:pPr>
        <w:spacing w:after="60"/>
        <w:ind w:firstLine="567"/>
        <w:jc w:val="both"/>
      </w:pPr>
      <w:r>
        <w:rPr>
          <w:rFonts w:ascii="Arial" w:cs="Arial" w:eastAsia="Arial" w:hAnsi="Arial"/>
          <w:sz w:val="24"/>
          <w:szCs w:val="24"/>
        </w:rPr>
        <w:t xml:space="preserve">- в абзаце первом части 3 статьи 70 проекта Закона слова "малой электроэнергетики" заменить словами "малой энергетики";</w:t>
      </w:r>
    </w:p>
    <w:p>
      <w:pPr>
        <w:spacing w:after="60"/>
        <w:ind w:firstLine="567"/>
        <w:jc w:val="both"/>
      </w:pPr>
      <w:r>
        <w:rPr>
          <w:rFonts w:ascii="Arial" w:cs="Arial" w:eastAsia="Arial" w:hAnsi="Arial"/>
          <w:sz w:val="24"/>
          <w:szCs w:val="24"/>
        </w:rPr>
        <w:t xml:space="preserve">- в статье 75 проекта Закона слова "охрана природы" заменить словами "охрана окружающей среды".</w:t>
      </w:r>
    </w:p>
    <w:p>
      <w:pPr>
        <w:spacing w:after="60"/>
        <w:ind w:firstLine="567"/>
        <w:jc w:val="both"/>
      </w:pPr>
      <w:r>
        <w:rPr>
          <w:rFonts w:ascii="Arial" w:cs="Arial" w:eastAsia="Arial" w:hAnsi="Arial"/>
          <w:sz w:val="24"/>
          <w:szCs w:val="24"/>
        </w:rPr>
        <w:t xml:space="preserve">46. Также предлагаем в рамках рассматриваемого проекта Закона урегулировать вопросы, связанные с определением охранных зон электрических и тепловых сетей.</w:t>
      </w:r>
    </w:p>
    <w:p>
      <w:pPr>
        <w:spacing w:after="60"/>
        <w:ind w:firstLine="567"/>
        <w:jc w:val="both"/>
      </w:pPr>
      <w:r>
        <w:rPr>
          <w:rFonts w:ascii="Arial" w:cs="Arial" w:eastAsia="Arial" w:hAnsi="Arial"/>
          <w:sz w:val="24"/>
          <w:szCs w:val="24"/>
        </w:rPr>
        <w:t xml:space="preserve">47. Согласно </w:t>
      </w:r>
      <w:r>
        <w:rPr>
          <w:rFonts w:ascii="Arial" w:cs="Arial" w:eastAsia="Arial" w:hAnsi="Arial"/>
          <w:sz w:val="24"/>
          <w:szCs w:val="24"/>
        </w:rPr>
        <w:t xml:space="preserve">статье 30</w:t>
      </w:r>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регулирующие предпринимательскую деятельность, вступают в силу не ранее пятнадцати дней со дня официального опубликования. В связи с чем в части 1 статьи 79 проекта Закона цифры "10" предлагаем заменить словом "пятнадцати".</w:t>
      </w:r>
    </w:p>
    <w:p>
      <w:pPr>
        <w:spacing w:after="60"/>
        <w:ind w:firstLine="567"/>
        <w:jc w:val="both"/>
      </w:pPr>
      <w:r>
        <w:rPr>
          <w:rFonts w:ascii="Arial" w:cs="Arial" w:eastAsia="Arial" w:hAnsi="Arial"/>
          <w:sz w:val="24"/>
          <w:szCs w:val="24"/>
        </w:rPr>
        <w:t xml:space="preserve">48. Пунктом 1 части 2 статьи 79 проекта Закона предлагается поручить Правительству Кыргызской Республики в месячный срок разработать программу действий по исполнению данного Закона и одобрить в Жогорку Кенеше Кыргызской Республики.</w:t>
      </w:r>
    </w:p>
    <w:p>
      <w:pPr>
        <w:spacing w:after="60"/>
        <w:ind w:firstLine="567"/>
        <w:jc w:val="both"/>
      </w:pPr>
      <w:r>
        <w:rPr>
          <w:rFonts w:ascii="Arial" w:cs="Arial" w:eastAsia="Arial" w:hAnsi="Arial"/>
          <w:sz w:val="24"/>
          <w:szCs w:val="24"/>
        </w:rPr>
        <w:t xml:space="preserve">Вместе с тем, необходимо отметать, что согласно пункту 2 части 3 </w:t>
      </w:r>
      <w:r>
        <w:rPr>
          <w:rFonts w:ascii="Arial" w:cs="Arial" w:eastAsia="Arial" w:hAnsi="Arial"/>
          <w:sz w:val="24"/>
          <w:szCs w:val="24"/>
        </w:rPr>
        <w:t xml:space="preserve">статьи 74</w:t>
      </w:r>
      <w:r>
        <w:rPr>
          <w:rFonts w:ascii="Arial" w:cs="Arial" w:eastAsia="Arial" w:hAnsi="Arial"/>
          <w:sz w:val="24"/>
          <w:szCs w:val="24"/>
        </w:rPr>
        <w:t xml:space="preserve"> </w:t>
      </w:r>
      <w:hyperlink w:history="1" r:id="rIdshpha6lho39axszg1cr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Жогорку Кенеш Кыргызской Республики утверждает общегосударственные программы развития, внесенные Правительством Кыргызской Республики. В этой связи, а также принимая во внимание, что Правительство Кыргызской Республики обеспечивает проведение единой государственной политики в социально-экономической сфере (пункт 8 части 1 </w:t>
      </w:r>
      <w:r>
        <w:rPr>
          <w:rFonts w:ascii="Arial" w:cs="Arial" w:eastAsia="Arial" w:hAnsi="Arial"/>
          <w:sz w:val="24"/>
          <w:szCs w:val="24"/>
        </w:rPr>
        <w:t xml:space="preserve">статьи 88</w:t>
      </w:r>
      <w:r>
        <w:rPr>
          <w:rFonts w:ascii="Arial" w:cs="Arial" w:eastAsia="Arial" w:hAnsi="Arial"/>
          <w:sz w:val="24"/>
          <w:szCs w:val="24"/>
        </w:rPr>
        <w:t xml:space="preserve"> Конституции Кыргызской Республики), пункт 1 части 2 статьи 79 проекта Закона предлагаем исключить.</w:t>
      </w:r>
    </w:p>
    <w:p>
      <w:pPr>
        <w:spacing w:after="60"/>
        <w:ind w:firstLine="567"/>
        <w:jc w:val="both"/>
      </w:pPr>
      <w:r>
        <w:rPr>
          <w:rFonts w:ascii="Arial" w:cs="Arial" w:eastAsia="Arial" w:hAnsi="Arial"/>
          <w:sz w:val="24"/>
          <w:szCs w:val="24"/>
        </w:rPr>
        <w:t xml:space="preserve">49. По части 3 статьи 79 проекта Закона предлагаем:</w:t>
      </w:r>
    </w:p>
    <w:p>
      <w:pPr>
        <w:spacing w:after="60"/>
        <w:ind w:firstLine="567"/>
        <w:jc w:val="both"/>
      </w:pPr>
      <w:r>
        <w:rPr>
          <w:rFonts w:ascii="Arial" w:cs="Arial" w:eastAsia="Arial" w:hAnsi="Arial"/>
          <w:sz w:val="24"/>
          <w:szCs w:val="24"/>
        </w:rPr>
        <w:t xml:space="preserve">- исключить даты и номера законов Кыргызской Республики, которые предлагается признать утратившими силу;</w:t>
      </w:r>
    </w:p>
    <w:p>
      <w:pPr>
        <w:spacing w:after="60"/>
        <w:ind w:firstLine="567"/>
        <w:jc w:val="both"/>
      </w:pPr>
      <w:r>
        <w:rPr>
          <w:rFonts w:ascii="Arial" w:cs="Arial" w:eastAsia="Arial" w:hAnsi="Arial"/>
          <w:sz w:val="24"/>
          <w:szCs w:val="24"/>
        </w:rPr>
        <w:t xml:space="preserve">- в качестве официального источника опубликования названных законов указывать либо Ведомости Жогорку Кенеша Кыргызской Республики, либо газету "Эркин Тоо";</w:t>
      </w:r>
    </w:p>
    <w:p>
      <w:pPr>
        <w:spacing w:after="60"/>
        <w:ind w:firstLine="567"/>
        <w:jc w:val="both"/>
      </w:pPr>
      <w:r>
        <w:rPr>
          <w:rFonts w:ascii="Arial" w:cs="Arial" w:eastAsia="Arial" w:hAnsi="Arial"/>
          <w:sz w:val="24"/>
          <w:szCs w:val="24"/>
        </w:rPr>
        <w:t xml:space="preserve">- в пунктах 7, 8, 14 и 15 слово "Закон" заменить словами "статью 1 Закона", "статью 1", "статью 16 Закона", "статью 2 Закона" соответственно, так как указанными в названных пунктах законами поправки вносились не только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электроэнергетике";</w:t>
      </w:r>
    </w:p>
    <w:p>
      <w:pPr>
        <w:spacing w:after="60"/>
        <w:ind w:firstLine="567"/>
        <w:jc w:val="both"/>
      </w:pPr>
      <w:r>
        <w:rPr>
          <w:rFonts w:ascii="Arial" w:cs="Arial" w:eastAsia="Arial" w:hAnsi="Arial"/>
          <w:sz w:val="24"/>
          <w:szCs w:val="24"/>
        </w:rPr>
        <w:t xml:space="preserve">- пункты 16-23 исключить в связи с отсутствием необходимости признания утратившим силу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энергетике";</w:t>
      </w:r>
    </w:p>
    <w:p>
      <w:pPr>
        <w:spacing w:after="60"/>
        <w:ind w:firstLine="567"/>
        <w:jc w:val="both"/>
      </w:pPr>
      <w:r>
        <w:rPr>
          <w:rFonts w:ascii="Arial" w:cs="Arial" w:eastAsia="Arial" w:hAnsi="Arial"/>
          <w:sz w:val="24"/>
          <w:szCs w:val="24"/>
        </w:rPr>
        <w:t xml:space="preserve">- вместе с признанием утратившим силу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электроэнергетике" признать утратившим силу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электроэнергетике" от 20 января 2016 года № 5.</w:t>
      </w:r>
    </w:p>
    <w:p>
      <w:pPr>
        <w:spacing w:after="60"/>
        <w:ind w:firstLine="567"/>
        <w:jc w:val="both"/>
      </w:pPr>
      <w:r>
        <w:rPr>
          <w:rFonts w:ascii="Arial" w:cs="Arial" w:eastAsia="Arial" w:hAnsi="Arial"/>
          <w:sz w:val="24"/>
          <w:szCs w:val="24"/>
        </w:rPr>
        <w:t xml:space="preserve">50. В правовом анализе аналитической записки отмечено, что нормы проекта Закона не противоречат законодательству. Однако при рассмотрении проекта Закона был выявлен ряд противоречий, в том числе несоответствие его положений Земельному кодексу Кыргызской Республики, Гражданскому </w:t>
      </w:r>
      <w:hyperlink w:history="1" r:id="rIdh5mzucgfz3crjff_29wsx">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Кроме того, в соответствии с </w:t>
      </w:r>
      <w:r>
        <w:rPr>
          <w:rFonts w:ascii="Arial" w:cs="Arial" w:eastAsia="Arial" w:hAnsi="Arial"/>
          <w:sz w:val="24"/>
          <w:szCs w:val="24"/>
        </w:rPr>
        <w:t xml:space="preserve">Методикой</w:t>
      </w:r>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30 сентября 2014 года № 559 (далее - Методика), помимо варианта "оставить все как есть", необходимо представить не менее 2-х альтернативных вариантов, при этом каждый из вариантов должен содержать информацию согласно структуре Методики.</w:t>
      </w:r>
    </w:p>
    <w:p>
      <w:pPr>
        <w:spacing w:after="60"/>
        <w:ind w:firstLine="567"/>
        <w:jc w:val="both"/>
      </w:pPr>
      <w:r>
        <w:rPr>
          <w:rFonts w:ascii="Arial" w:cs="Arial" w:eastAsia="Arial" w:hAnsi="Arial"/>
          <w:sz w:val="24"/>
          <w:szCs w:val="24"/>
        </w:rPr>
        <w:t xml:space="preserve">Аналитическую записку также предлагаем дополнить информацией с указанием мнений основных заинтересованных сторон/групп интересов, бизнес-ассоциаций, предлагаемых вариантов регулирования, а также провести сравнение вариантов. Кроме того, необходимо представить подписи членов рабочей группы.</w:t>
      </w:r>
    </w:p>
    <w:p>
      <w:pPr>
        <w:spacing w:after="60"/>
        <w:ind w:firstLine="567"/>
        <w:jc w:val="both"/>
      </w:pPr>
      <w:r>
        <w:rPr>
          <w:rFonts w:ascii="Arial" w:cs="Arial" w:eastAsia="Arial" w:hAnsi="Arial"/>
          <w:sz w:val="24"/>
          <w:szCs w:val="24"/>
        </w:rPr>
        <w:t xml:space="preserve">На основании изложенного, а также учитывая, что положения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электроэнергетике" в настоящее время в большей части устарели и требуют пересмотра, Правительство Кыргызской Республики поддерживает инициативу о принятии новой редакции названного Закона, с обязательным учетом вышеуказанных замечаний и предложений.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ic010cmbhc-eadsthol2">
      <w:r>
        <w:rPr>
          <w:rFonts w:ascii="Arial" w:cs="Arial" w:eastAsia="Arial" w:hAnsi="Arial"/>
          <w:color w:val="132D3F"/>
          <w:sz w:val="16"/>
          <w:szCs w:val="16"/>
          <w:u w:val="single"/>
        </w:rPr>
        <w:t xml:space="preserve">dalil.kg/document/98533</w:t>
      </w:r>
    </w:hyperlink>
  </w:p>
  <w:p>
    <w:pPr>
      <w:spacing w:after="0" w:before="40"/>
      <w:jc w:val="center"/>
    </w:pPr>
    <w:hyperlink w:history="1" r:id="rIdwa2uwqcqkith_p0np56y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ds-cz30ahrg2brgawj5b" Type="http://schemas.openxmlformats.org/officeDocument/2006/relationships/hyperlink" Target="https://dalil.kg/document/203685" TargetMode="External"/><Relationship Id="rIdsnz_y7lp3d9rrjzcxvo1i" Type="http://schemas.openxmlformats.org/officeDocument/2006/relationships/hyperlink" Target="https://dalil.kg/document/98533#p1" TargetMode="External"/><Relationship Id="rIdl95tc-c1hnpizmtuhxmsn" Type="http://schemas.openxmlformats.org/officeDocument/2006/relationships/hyperlink" Target="https://dalil.kg/document/202591" TargetMode="External"/><Relationship Id="rIdmyphnaqfc-z7g6_eru2lq" Type="http://schemas.openxmlformats.org/officeDocument/2006/relationships/hyperlink" Target="https://dalil.kg/document/4" TargetMode="External"/><Relationship Id="rIdnidjgiczumeffyyplsijw" Type="http://schemas.openxmlformats.org/officeDocument/2006/relationships/hyperlink" Target="https://dalil.kg/document/203685" TargetMode="External"/><Relationship Id="rId-bd4vnon_uqu42ij1gicf" Type="http://schemas.openxmlformats.org/officeDocument/2006/relationships/hyperlink" Target="https://dalil.kg/document/202913" TargetMode="External"/><Relationship Id="rIdlgpgvtxeziil2ilyyta8q" Type="http://schemas.openxmlformats.org/officeDocument/2006/relationships/hyperlink" Target="https://dalil.kg/document/202913" TargetMode="External"/><Relationship Id="rIdrwfi30scxntl46cuvoxq8" Type="http://schemas.openxmlformats.org/officeDocument/2006/relationships/hyperlink" Target="https://dalil.kg/document/202591" TargetMode="External"/><Relationship Id="rIdaj4oiexiqfzzno1rl_t39" Type="http://schemas.openxmlformats.org/officeDocument/2006/relationships/hyperlink" Target="https://dalil.kg/document/4" TargetMode="External"/><Relationship Id="rIdhchmdpqrwe2xiqv-v5lsn" Type="http://schemas.openxmlformats.org/officeDocument/2006/relationships/hyperlink" Target="https://dalil.kg/document/4" TargetMode="External"/><Relationship Id="rIdfj9mdivrgstk40b4iyuka" Type="http://schemas.openxmlformats.org/officeDocument/2006/relationships/hyperlink" Target="https://dalil.kg/document/202591" TargetMode="External"/><Relationship Id="rIddf9doezq0euvvlzsmtps6" Type="http://schemas.openxmlformats.org/officeDocument/2006/relationships/hyperlink" Target="https://dalil.kg/document/4" TargetMode="External"/><Relationship Id="rIdekhmzx_vhvlaug5aoc0co" Type="http://schemas.openxmlformats.org/officeDocument/2006/relationships/hyperlink" Target="https://dalil.kg/document/4" TargetMode="External"/><Relationship Id="rIdbv1khdmobqrmrlaae8jqf" Type="http://schemas.openxmlformats.org/officeDocument/2006/relationships/hyperlink" Target="https://dalil.kg/document/202913" TargetMode="External"/><Relationship Id="rId4cuzbhsgwpg4qj6_tvjqs" Type="http://schemas.openxmlformats.org/officeDocument/2006/relationships/hyperlink" Target="https://dalil.kg/document/202591" TargetMode="External"/><Relationship Id="rIdshpha6lho39axszg1crx-" Type="http://schemas.openxmlformats.org/officeDocument/2006/relationships/hyperlink" Target="https://dalil.kg/document/202913" TargetMode="External"/><Relationship Id="rIdh5mzucgfz3crjff_29wsx"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ic010cmbhc-eadsthol2" Type="http://schemas.openxmlformats.org/officeDocument/2006/relationships/hyperlink" Target="https://dalil.kg/document/98533" TargetMode="External"/><Relationship Id="rIdwa2uwqcqkith_p0np56y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2026-10-05T14:12:35.688Z</dcterms:created>
  <dcterms:modified xsi:type="dcterms:W3CDTF">2026-10-05T14:12:35.688Z</dcterms:modified>
</cp:coreProperties>
</file>

<file path=docProps/custom.xml><?xml version="1.0" encoding="utf-8"?>
<Properties xmlns="http://schemas.openxmlformats.org/officeDocument/2006/custom-properties" xmlns:vt="http://schemas.openxmlformats.org/officeDocument/2006/docPropsVTypes"/>
</file>