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vyuw0uzz8ngt_6kzjza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 2016 года № 324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регистрации, пломбирования и применения контрольно-кассовых машин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Порядке регистрации, пломбирования и применения контрольно-кассовых машин (далее - ККМ)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контрольная лента</w:t>
      </w:r>
      <w:r>
        <w:rPr>
          <w:rFonts w:ascii="Arial" w:cs="Arial" w:eastAsia="Arial" w:hAnsi="Arial"/>
          <w:sz w:val="24"/>
          <w:szCs w:val="24"/>
        </w:rPr>
        <w:t xml:space="preserve"> - первичный учетный документ, отпечатанный ККМ на бумажном носителе, подтверждающий факт осуществления между пользователем и покупателем (клиентом) наличного денежного расчета и (или) расчета с использованием платежных карт, содержащий сведения об этих расчетах, зарегистрированных программно-аппаратными средствами ККМ, обеспечивающими надлежащий учет денежных средств при проведении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контрольная пломба</w:t>
      </w:r>
      <w:r>
        <w:rPr>
          <w:rFonts w:ascii="Arial" w:cs="Arial" w:eastAsia="Arial" w:hAnsi="Arial"/>
          <w:sz w:val="24"/>
          <w:szCs w:val="24"/>
        </w:rPr>
        <w:t xml:space="preserve"> - специальное клеймение, устанавливаемое в предусмотренных местах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контрольно-кассовый чек</w:t>
      </w:r>
      <w:r>
        <w:rPr>
          <w:rFonts w:ascii="Arial" w:cs="Arial" w:eastAsia="Arial" w:hAnsi="Arial"/>
          <w:sz w:val="24"/>
          <w:szCs w:val="24"/>
        </w:rPr>
        <w:t xml:space="preserve"> - документ, отпечатанный ККМ на бумажной ленте, удостоверяющий регистрацию наличного денежного расчета и /или расчета с использованием платежных карт при совершении расчетной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перефискализация</w:t>
      </w:r>
      <w:r>
        <w:rPr>
          <w:rFonts w:ascii="Arial" w:cs="Arial" w:eastAsia="Arial" w:hAnsi="Arial"/>
          <w:sz w:val="24"/>
          <w:szCs w:val="24"/>
        </w:rPr>
        <w:t xml:space="preserve"> - повторное включение фискального режима с обнулением суммирующих счетчиков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индивидуальный предприниматель, организация, обособленное подразделение, постоянное учреждение, осуществляющие экономическую деятельность независимо от их организационно-правовой формы, вида деятельности, подчиненности и формы собственности и/или имеющие объекты налогообложения;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акт</w:t>
      </w:r>
      <w:r>
        <w:rPr>
          <w:rFonts w:ascii="Arial" w:cs="Arial" w:eastAsia="Arial" w:hAnsi="Arial"/>
          <w:sz w:val="24"/>
          <w:szCs w:val="24"/>
        </w:rPr>
        <w:t xml:space="preserve"> - документ установленной формы, утвержденной уполномоченным налоговым органом, в котором указывается информация о техническом состоянии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устройство передачи фискальных данных</w:t>
      </w:r>
      <w:r>
        <w:rPr>
          <w:rFonts w:ascii="Arial" w:cs="Arial" w:eastAsia="Arial" w:hAnsi="Arial"/>
          <w:sz w:val="24"/>
          <w:szCs w:val="24"/>
        </w:rPr>
        <w:t xml:space="preserve"> - устройство, сохраняющее и отправляющее данные по кассовым операциям через проводные или беспроводные каналы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фискализация</w:t>
      </w:r>
      <w:r>
        <w:rPr>
          <w:rFonts w:ascii="Arial" w:cs="Arial" w:eastAsia="Arial" w:hAnsi="Arial"/>
          <w:sz w:val="24"/>
          <w:szCs w:val="24"/>
        </w:rPr>
        <w:t xml:space="preserve"> - включение фискального режима ККМ и активация устройства передачи фискальных данных с вводом пароля ответственного работника центра технического обслуживания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технического обслуживания ККМ (далее - ЦТО)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заключившее меморандум о взаимодействии с уполномоченным налоговым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Применение ККМ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денежные расчеты с населением, осуществляемые при торговых операциях или оказании услуг посредством наличных денег, платежных карт, чеков, производятся с обязательным применением ККМ с выдачей контрольно-кассового чека.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Денежные расчеты с населением без применения ККМ допускаются субъектами, включенными в Перечень организаций и физических лиц, которые в силу специфики своей деятельности либо особенностей местонахождения могут осуществлять денежные расчеты с населением без применения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использованию на территории Кыргызской Республики допускаются только те модели ККМ, которые внесены в Государственный реестр ККМ, разрешенных к использованию на территории Кыргызской Республики (далее - Государственный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ККМ, исключенные из Государственного реестра, к применению не допускаются и подлежат снятию с регистрационного учета в налоговых органах через ЦТО.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платежных терминалах в обязательном порядке должны быть установлены ККМ (фискальные регистраторы).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Субъекты обязаны применять исправные ККМ, которые: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включены в Государственный реестр, поставлены на учет в ЦТО и зарегистрированы в автоматизированной информационной системе уполномоченного налогового органа (далее - АИС);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опломбированы ЦТО;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имеют фискальную память;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передают данные в режиме онлайн по проводным, беспроводным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Неисправной считается ККМ, которая: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выполняет или выполняет операции с ошибками, не печатает, печатает неразборчиво или не полностью печатает контрольную ленту или другие документы, предусмотренные техническими требованиями к моделям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позволяет получить данные, содержащиеся в фискальной памяти и/или передаваемые по проводным и беспроводным каналам связи, необходимые для осуществления контроля органами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вышедший из строя блок фискальной памяти.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неисправности ККМ субъект обращается в ЦТО, который обязан устранить возникшую техническую поломку в срок не более двух рабочих дней. После устранения технических неисправностей ответственное лицо ЦТО составляет технический акт и уведомляет об исправности ККМ налоговую службу посредством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Если ЦТО не может устранить причину неисправности ККМ в течение установленного срока, то на время ремонта ЦТО выдает субъекту на безвозмездной основе взамен неисправной ККМ другую резервную (равнозначную, исправную) ККМ с идентичными техническими характеристиками.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допускаются к применению ККМ, на которых отсутствует либо повреждена контрольная пломба, отсутствует маркировка ККМ завода-изготовителя, а также ККМ в нефискальном режиме и без блока устройства передачи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правилах эксплуатации, разработанных заводом-изготовителем ККМ, могут быть предусмотрены и другие неисправности, при наличии которых указанные машины не должны применяться.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Субъекты, применяющие ККМ, обязаны выдавать покупателям (клиентам) контрольно-кассовый чек, напечатанный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выдаваемом покупателям (клиентам) контрольно-кассовом чеке должны отражаться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идентификационный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заводской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порядковый номер контрольно-кассового чека;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дата и время покупки/услуги;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стоимость покупки/услуги;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способ оплаты (наличный/безналичный);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подтверждение о фискальном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наименования и суммы удержанных налогов (налог на добавленную стоимость и налог с продаж);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регистрационный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QR код (закодированная информация о чеке);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адрес веб-сайта уполномоченного налогового органа (для проверки чека).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контрольно-кассовом чеке, выдаваемом в обменном бюро, кроме вышеперечисленных реквизитов, должны отражаться вид и курс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каждой ККМ субъектом ведется книга кассира-операциониста, заверенная подписью ответственного лица и печатью ЦТО.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Контрольные ленты, книга кассира-операциониста и другие документы, подтверждающие проведение денежных расчетов с населением, должны храниться в течение сроков, установленных для первичных учетных документов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Субъекты обязаны обеспечивать ведение в установленном порядке документации, связанной с приобретением, регистрацией и применением ККМ. Ответственность за хранение данных документов несет руководитель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за соблюдением порядка применения ККМ и полнотой учета выручки денежных средств осуществляют органы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торговых рынков и торговых домов должны осуществлять контроль за установкой ККМ арендаторами торговых площадей. За необеспечение установки ККМ арендаторами торговых площадей руководители торговых рынков и торговых домов несут ответственность в соответствии с законодательством об административной ответственности.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Регистрация и пломбирование ККМ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регистрации ККМ субъект должен обратиться в ЦТО, представить ККМ 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регистрации ККМ по форме согласно </w:t>
      </w:r>
      <w:hyperlink w:history="1" r:id="rIdmdpolszqonsmt4dhukp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лицу, подающему документы на регистрацию ККМ (в случае, если документы представляются не руководителем субъекта).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Ответственное лицо ЦТО производит регистрацию ККМ в течение одного рабочего дня со дня подачи документов, указанных в пункте 21 настоящего Порядка, путем ввода данных о регистрации ККМ в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регистрации ККМ ЦТО производит фискализацию и пломбирование ККМ. Контрольная пломба устанавливается на блок фискальной памяти и на место крепления устройства передачи фискальных данных к корпусу (плате) ККМ, в случае, если данная часть не интегрирована с ККМ. Контрольные пломбы выдаются ЦТО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Ответственное лицо ЦТО вносит данные о регистрации, фискализации, перерегистрации, перефискализации и снятии с регистрации ККМ в регистрационную карточку ККМ по форме согласно</w:t>
      </w:r>
      <w:hyperlink w:history="1" r:id="rIdkjghze-melkyltiovc2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Регистрационная карточка ККМ хранится у субъекта в течение всего срока эксплуатации ККМ, а также в течение двух лет после снятия ККМ с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регистрации ККМ ответственное лицо ЦТО заверяет подписью и печатью книгу кассира-операциониста, заведенную по форме согласно </w:t>
      </w:r>
      <w:hyperlink w:history="1" r:id="rIdrqk6l5trs0osmecygx6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, и книгу учета денежных средств, заведенную по форме согласно </w:t>
      </w:r>
      <w:hyperlink w:history="1" r:id="rIdfe1srjvwedpvwwoqpq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Книги должны быть полистно пронумерованы и прошнурованы.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Книга учета денежных средств применяется субъектом в случае неисправности ККМ. Субъект вносит соответствующие записи в книгу учета денежных средств при осуществлении денежных расчетов с населением.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изменении фактического адреса установки ККМ субъект уведомляет об этом ЦТО в письменном виде. Ответственное лицо ЦТО осуществляет ввод нового фактического адреса установки ККМ в АИС и вносит соответствующую запись в регистрационную карточку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Процесс перефискализации ККМ производится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из строя фискального блока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переполнения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перефискализации ККМ ЦТО составляет технический акт и уведомляет налоговую службу посредством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перефискализации ККМ ответственное лицо ЦТО снимает установленные контрольные пломбы и устанавливает новые контрольные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выявления факта повреждения (срыва) или отсутствия контрольной пломбы на ККМ, ответственное лицо ЦТО составляет соответствующий акт и уведомляет налоговую службу посредством АИС. До выяснения обстоятельств ККМ должна находиться в ЦТО.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После регистрации ККМ субъект может получить доступ к личному кабинету налогоплательщика в АИС для просмотра проводимых денежных операций с применением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снятия ККМ с регистрации субъект должен представить в ЦТО ККМ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снятии с регистрации ККМ по форме согласно приложению 5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регистрационную карточку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лицу, подающему документы на снятие с регистрации ККМ (в случае, если документы представляются не руководителем субъекта).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Снятие с регистрации ККМ осуществляется в течение двух рабочих дней со дня подачи документов, указанных в пункте 34, путем снятия фискального отчета ККМ и ввода данных о снятии ККМ с регистрации в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регистрации, пломбирования и применения контрольно-кассовых машин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Директору Центра технического обслуживания ККМ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регистрации контрольно-кассовой машины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поставить на учет контрольно-кассовую машину: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84"/>
        <w:gridCol w:w="2294"/>
      </w:tblGrid>
      <w:tr>
        <w:tc>
          <w:tcPr>
            <w:tcW w:type="dxa" w:w="78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 ККМ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ККМ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технического паспорта ККМ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налогового органа по месту налоговой и/или учетной регистрации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свидетельства о государственной регистрации субъекта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 установки ККМ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 субъекта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субъекта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номер субъекта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субъекта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
 (ФИО)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регистрации, пломбирования и применения контрольно-кассовых машин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РЕГИСТРАЦИОННАЯ КАРТОЧКА
 контрольно-кассовой машины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субъекта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  (Наименование организации, ФИО индивидуального предпринимателя)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УГНС _____________ УГНС по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                                (городу, району налоговой или учетной регистрации)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8"/>
        <w:gridCol w:w="963"/>
        <w:gridCol w:w="765"/>
        <w:gridCol w:w="1034"/>
        <w:gridCol w:w="871"/>
        <w:gridCol w:w="1278"/>
        <w:gridCol w:w="973"/>
        <w:gridCol w:w="928"/>
        <w:gridCol w:w="1258"/>
        <w:gridCol w:w="940"/>
      </w:tblGrid>
      <w:tr>
        <w:tc>
          <w:tcPr>
            <w:tcW w:type="dxa" w:w="11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 ККМ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Регистра-
 ционный номер ККМ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Модель ККМ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Заводской номер ККМ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Наимено-
 вание ЦТО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Фактический адрес установки ККМ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конт-
 рольной пломбы ККМ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конт-
 рольной пломбы УПФД(*)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Показание фискальной памяти ККМ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снятии с учета ККМ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УПФД - устройство передачи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ЦТО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
 (ФИО)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Обратная сторона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ПОКАЗАНИЯ
 главного суммирующего счетчика ККМ при сдаче ее в ремонт и возврате субъекту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7"/>
        <w:gridCol w:w="2314"/>
        <w:gridCol w:w="2314"/>
        <w:gridCol w:w="2030"/>
        <w:gridCol w:w="1863"/>
      </w:tblGrid>
      <w:tr>
        <w:tc>
          <w:tcPr>
            <w:tcW w:type="dxa" w:w="16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46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Показания главного суммирующего счетчика ККМ</w:t>
            </w:r>
          </w:p>
        </w:tc>
        <w:tc>
          <w:tcPr>
            <w:tcW w:type="dxa" w:w="20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лица ЦТО</w:t>
            </w:r>
          </w:p>
        </w:tc>
        <w:tc>
          <w:tcPr>
            <w:tcW w:type="dxa" w:w="18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субъекта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 отправкой в ремонт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возврате ККМ субъекту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регистрации, пломбирования и применения контрольно-кассовых машин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
 кассира-операциониста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 контрольно-кассовой машины ________________ заводской номер 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8"/>
        <w:gridCol w:w="678"/>
        <w:gridCol w:w="678"/>
        <w:gridCol w:w="678"/>
        <w:gridCol w:w="678"/>
        <w:gridCol w:w="678"/>
        <w:gridCol w:w="678"/>
      </w:tblGrid>
      <w:tr>
        <w:tc>
          <w:tcPr>
            <w:tcW w:type="dxa" w:w="6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(смена)</w:t>
            </w:r>
          </w:p>
        </w:tc>
        <w:tc>
          <w:tcPr>
            <w:tcW w:type="dxa" w:w="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Показание контрольного счетчика</w:t>
            </w:r>
          </w:p>
        </w:tc>
        <w:tc>
          <w:tcPr>
            <w:tcW w:type="dxa" w:w="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Выручка с нарастающим итогом на начало дня</w:t>
            </w:r>
          </w:p>
        </w:tc>
        <w:tc>
          <w:tcPr>
            <w:tcW w:type="dxa" w:w="203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Выручка за день</w:t>
            </w:r>
          </w:p>
        </w:tc>
        <w:tc>
          <w:tcPr>
            <w:tcW w:type="dxa" w:w="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Выручка с нарастающим итогом на конец дня</w:t>
            </w:r>
          </w:p>
        </w:tc>
        <w:tc>
          <w:tcPr>
            <w:tcW w:type="dxa" w:w="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Возвраты с нарастающим итогом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Возвраты за день</w:t>
            </w:r>
          </w:p>
        </w:tc>
        <w:tc>
          <w:tcPr>
            <w:tcW w:type="dxa" w:w="203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Сдано в бухгалтерию или инкассировано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бухгалтера или инкассатора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денежных средств в кассе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кассира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Налич-
 ная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Безна-
 личная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документа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регистрации, пломбирования и применения контрольно-кассовых машин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
 учета денежных средств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680"/>
        <w:gridCol w:w="1355"/>
        <w:gridCol w:w="543"/>
        <w:gridCol w:w="541"/>
        <w:gridCol w:w="1492"/>
        <w:gridCol w:w="814"/>
        <w:gridCol w:w="1492"/>
        <w:gridCol w:w="1219"/>
        <w:gridCol w:w="1368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</w:t>
            </w:r>
          </w:p>
        </w:tc>
        <w:tc>
          <w:tcPr>
            <w:tcW w:type="dxa" w:w="1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товара/услуги</w:t>
            </w:r>
          </w:p>
        </w:tc>
        <w:tc>
          <w:tcPr>
            <w:tcW w:type="dxa" w:w="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единицу товара/услуги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оплаты (наличный/без-
 наличный)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Возврат денежных средств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кассира-операциониста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регистрации, пломбирования и применения контрольно-кассовых машин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Директору Центра технического обслуживания ККМ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снятии с регистрации контрольно-кассовой машины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снять с регистрации контрольно-кассовую машину: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94"/>
        <w:gridCol w:w="2184"/>
      </w:tblGrid>
      <w:tr>
        <w:tc>
          <w:tcPr>
            <w:tcW w:type="dxa" w:w="79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 ККМ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ККМ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технического паспорта ККМ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ККМ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 ККМ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налогового органа по месту налоговой и/или учетной регистрации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 установки ККМ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 субъекта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субъекта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номер субъекта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снятия с учета ККМ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субъекта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
 (ФИО)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qzukp0aswmzjgmndw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dalil.kg/document/98555</w:t>
      </w:r>
    </w:hyperlink>
  </w:p>
  <w:p>
    <w:pPr>
      <w:spacing w:after="0" w:before="40"/>
      <w:jc w:val="center"/>
    </w:pPr>
    <w:hyperlink w:history="1" r:id="rIdzsczu8tmuv4pgzzmraa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uw0uzz8ngt_6kzjzaft" Type="http://schemas.openxmlformats.org/officeDocument/2006/relationships/hyperlink" Target="https://dalil.kg/document/98554" TargetMode="External"/><Relationship Id="rIdmdpolszqonsmt4dhukphp" Type="http://schemas.openxmlformats.org/officeDocument/2006/relationships/hyperlink" Target="https://dalil.kg/document/98555#p1" TargetMode="External"/><Relationship Id="rIdkjghze-melkyltiovc2p6" Type="http://schemas.openxmlformats.org/officeDocument/2006/relationships/hyperlink" Target="https://dalil.kg/document/98555#p2" TargetMode="External"/><Relationship Id="rIdrqk6l5trs0osmecygx6vt" Type="http://schemas.openxmlformats.org/officeDocument/2006/relationships/hyperlink" Target="https://dalil.kg/document/98555#p3" TargetMode="External"/><Relationship Id="rIdfe1srjvwedpvwwoqpqmbc" Type="http://schemas.openxmlformats.org/officeDocument/2006/relationships/hyperlink" Target="https://dalil.kg/document/98555#p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qzukp0aswmzjgmndwv4" Type="http://schemas.openxmlformats.org/officeDocument/2006/relationships/hyperlink" Target="https://dalil.kg/document/98555" TargetMode="External"/><Relationship Id="rIdzsczu8tmuv4pgzzmraa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2026-10-05T16:24:19.554Z</dcterms:created>
  <dcterms:modified xsi:type="dcterms:W3CDTF">2026-10-05T16:24:19.554Z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