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заключении Правительства Кыргызской Республики на проект Закона Кыргызской Республики "О Национальной гвардии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ul9e7jrnlsinlmzet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a06rzuoeyrrs8sf3xw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Национальной гвардии Кыргызской Республики", инициированный депутатом Жогорку Кенеша Кыргызской Республики Омуркуловым И.Ш.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Национальной гвардии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9zmauni45eyciwugf7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Национальной гвардии Кыргызской Республики" (далее - законопроект), инициированный депутатом Жогорку Кенеша Кыргызской Республики Омуркуловым И.Ш., Правительство Кыргызской Республики предлагает учесть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 положения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ltgpoaihoylp7g8_f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предлагаем оглавление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1 законопроекта предлагается установить, что Национальная гвардия Кыргызской Республики является специальным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законах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обороне и Вооруженных Силах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всеобщей воинской обязанности граждан Кыргызской Республики, о военной и альтернативной службах</w:t>
      </w:r>
      <w:r>
        <w:rPr>
          <w:rFonts w:ascii="Arial" w:cs="Arial" w:eastAsia="Arial" w:hAnsi="Arial"/>
          <w:sz w:val="24"/>
          <w:szCs w:val="24"/>
        </w:rPr>
        <w:t xml:space="preserve">" не предусмотрено понятие "специальный государственный орган". В этой связи предлагаем пересмотреть пункт 1 статьи 1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единообразия формулировок, используемых в законодательстве Кыргызской Республики, предлагаем статью 2 законопроекта изложить в следующей редакции: "Правовую основу деятельности Национальной гвардии составляют 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акты, вступившие в установленном законом порядке в силу международные договоры, участницей которых является Кыргызская Республика, а также приказы и директивы Генерального штаба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 законопроекта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 "точного и строгого исполнения </w:t>
      </w:r>
      <w:hyperlink w:history="1" r:id="rIdvee_ryhvxwggm2zb2l3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нормативных правовых актов Кыргызской Республики" исключить, поскольку смысловое значение данного принципа дублирует смысл принципа "законности", приведенного в данном статье;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статьи исключить, так как ее содержание не относится к принципам деятельности Национальной гвардии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законопроекта предлагаем исключить, поскольку указанные нормы дублируются в разделе VII "Финансирование и материально-техническое обеспечение Национальной гвардии".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5 законопроекта предлагаем исключить, так как вопросы недропользования не являются предметом рассмотрения данного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поскольку у Национальной гвардии Кыргызской Республики не имеется воздушных судов, возникает вопрос о целесообразности положений части 2 данной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статье 6 законопроекта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 и функции обозначить частями 1 и 2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 согласованию с Генеральным штабом Вооруженных Сил Кыргызской Республики организация сотрудничества с соответствующими структурами иностранных государств, реализация военного и военно-технического сотрудничества;".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предложение обуславливается тем, что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полномочия по международному военному и военно-техническому сотрудничеству осуществляется государственным органом, ведающим вопросами обороны, и Генеральным штабом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исключить, так как вопросы, содержащиеся в данном пункте, охвачены пунктом 15 данной статьи;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устанавливает права Национальной гвардии Кыргызской Республики, следовательно, данный пункт следует отразить в статье 8 законопроекта. Также в данном пункте слова ", а также проведения подрядных работ и услуг для нужд Национальной гвардии" необходимо пересмотреть ввиду его противоречия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так как лицензирование отдельных видов деятельности, в частности проведение подрядных работ, включается в реестр лицензий и разрешений, порядок формирования и ведения реестра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7 законопроекта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"и гражданами"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исключить, так как содержание данной части охвачено частью 2 статьи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9 законопроекта предлагаем исключить, поскольку вопросы заключения и исполнения международных договоров являются предметом регулирования </w:t>
      </w:r>
      <w:hyperlink w:history="1" r:id="rIdxmdcpyobixvj4tje8xq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10 законопроекта предлагаем: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4 исключить, так как вопросы прав, свобод и ограничений военнослужащих отражены в законах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статусе военнослужащих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уставе внутренней службы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после слов "по согласованию с" дополнить словом "уполномоченным";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исключить, так как порядок отбора кандидатов для поступления на военную службу и прохождения военной службы военнослужащими различных категорий определены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в Кыргызской Республике, в которых законом предусмотрена военная служба,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25 апреля 2011 года № 185.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предельная численность и условия оплаты труда государственных, муниципальных служащих и других категорий работников бюджетной сферы определяется Правительством Кыргызской Республики в соответствии с законодательством Кыргызской Республики. Следовательно, установление денежного довольствия и размеров надбавок (дополнительных денежных выплат) входит в компетенцию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часть 4 статьи 12 законопроекта предлагаем пересмотреть ввиду наличия противоречий нормам законодательства в сфере оплаты труда работников бюджетных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законопроектом предлагается в условиях боевой службы военнослужащим Национальной гвардии Кыргызской Республики установить дополнительные надбавки. Однако данная мера потребует дополнительных средств из республиканского бюджета, при этом отсутствуют финансово-экономические расчеты по данному пункту. На боевую службу привлекаются все военнослужащие Вооруженных Сил и других воинских формирований, соответственно, включение данного пункта в отношении военнослужащих Национальной гвардии Кыргызской Республики может создать прецедент среди других силовых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Проводимая в последнее время Правительством Кыргызской Республики реформа денежного довольствия военнослужащих направлена на унификацию и отход от ведомственного регулирования денежного довольствия.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постановлением Правительства Кыргызской Республики "Об утверждении Положения о денежном довольствии военнослужащих Вооруженных Сил и других воинских формирований Кыргызской Республики" от 31 октября 2014 года № 620 - для военнослужащих контрактной службы Национальной гвардии Кыргызской Республики уже предусмотрена надбавка в размере 20 процентов, прапорщикам, солдатам, сержантам и старшинам, проходящим службу в воинских частях и подразделениях оперативного назначения и охраняющих особо важные стратегические объекты, - в размере 30 процентов от оклада по воинской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Раздел III "Полномочия Генерального штаба Вооруженных Сил Кыргызской Республики" законопроекта предлагается исключить, поскольку указанные нормы установлены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а также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Генеральном штабе Вооруженных Сил Кыргызской Республики, утвержденном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2014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1 статьи 15 законопроекта после слов "Вооруженными Силами КР" предлагаем дополнить словами ", по представлению начальника Генерального штаба Вооруженных Сил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Предлагается в целом пересмотреть структуру статьи 16 законопроекта на предмет технического и содержательного изложения, так как дублируются отдельные полномочия Правительства Кыргызской Республики и командующего Национальной гвардией Кыргызской Республики, отдельные положения являются предметом регулирования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19 законопроекта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Военнослужащий Национальной гвардии, при выполнении возложенных на него служебных обязанностей, имеет право лично или в составе подразделения (группы) применять специальные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применения и перечень специальных средств Национальной гвардии определяются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подпункте 3 части 2 статьи 20 законопроекта слова "дипломатическим представительствам и консульским учреждениям иностранных государств" предлагаем заменить словами "дипломатическим представительствам, консульским учреждениям иностранных государств и представительствам международных организаций" (в их числе могут быть представительства ООН, ОБСЕ, ЕС, ВБ, АБР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Раздел VIII законопроекта "Коллегия Национальной гвардии" предлагаем исключить и отразить данные вопросы в положении о Национальной гвардии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2 статьи 30 законопроекта поручается Правительству Кыргызской Республики привести свои решения в соответствие с настоящим Законом. В связи с этим предлагаем указать в справке-обосновании к законопроекту необходимость внесения изменений и дополнений в другие нормативные правовые акты. В случае отсутствия такой информации часть 2 статьи 30 следует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справку-обоснование к законопроекту следует привести в соответствие со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xagprfjy8uuw6s0-ik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Национальной гвардии Кыргызской Республики", с учетом замечаний и предложений, изложенных в настояще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ppi1ohamkuvj5ordh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dalil.kg/document/98566</w:t>
      </w:r>
    </w:hyperlink>
  </w:p>
  <w:p>
    <w:pPr>
      <w:spacing w:after="0" w:before="40"/>
      <w:jc w:val="center"/>
    </w:pPr>
    <w:hyperlink w:history="1" r:id="rIdk-ay3pvohjuzab_2spr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l9e7jrnlsinlmzetgwa" Type="http://schemas.openxmlformats.org/officeDocument/2006/relationships/hyperlink" Target="https://dalil.kg/document/203685" TargetMode="External"/><Relationship Id="rIdfa06rzuoeyrrs8sf3xw8l" Type="http://schemas.openxmlformats.org/officeDocument/2006/relationships/hyperlink" Target="https://dalil.kg/document/98566#p1" TargetMode="External"/><Relationship Id="rIdx9zmauni45eyciwugf7-3" Type="http://schemas.openxmlformats.org/officeDocument/2006/relationships/hyperlink" Target="https://dalil.kg/document/203685" TargetMode="External"/><Relationship Id="rIdnltgpoaihoylp7g8_fefi" Type="http://schemas.openxmlformats.org/officeDocument/2006/relationships/hyperlink" Target="https://dalil.kg/document/202591" TargetMode="External"/><Relationship Id="rIdvee_ryhvxwggm2zb2l3db" Type="http://schemas.openxmlformats.org/officeDocument/2006/relationships/hyperlink" Target="https://dalil.kg/document/202913" TargetMode="External"/><Relationship Id="rIdxmdcpyobixvj4tje8xq7t" Type="http://schemas.openxmlformats.org/officeDocument/2006/relationships/hyperlink" Target="https://dalil.kg/document/205286" TargetMode="External"/><Relationship Id="rIdtxagprfjy8uuw6s0-ik4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ppi1ohamkuvj5ordhrp" Type="http://schemas.openxmlformats.org/officeDocument/2006/relationships/hyperlink" Target="https://dalil.kg/document/98566" TargetMode="External"/><Relationship Id="rIdk-ay3pvohjuzab_2spr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2026-10-05T14:12:36.929Z</dcterms:created>
  <dcterms:modified xsi:type="dcterms:W3CDTF">2026-10-05T14:12:36.929Z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