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УТРАТИЛО СИЛУ
 в соответствии с </w:t>
      </w:r>
      <w:hyperlink w:history="1" r:id="rIdrlzbsuhzeglrnjcdchmw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13 июня 2017 года № 368</w:t>
      </w:r>
    </w:p>
    <w:p>
      <w:pPr>
        <w:spacing w:after="48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20 мая 2016 года № 270</w:t>
      </w:r>
    </w:p>
    <w:p>
      <w:pPr>
        <w:spacing w:after="120"/>
        <w:jc w:val="both"/>
      </w:pPr>
      <w:r>
        <w:rPr>
          <w:rFonts w:ascii="Arial" w:cs="Arial" w:eastAsia="Arial" w:hAnsi="Arial"/>
          <w:sz w:val="32"/>
          <w:szCs w:val="32"/>
        </w:rPr>
        <w:t xml:space="preserve">О Среднесрочном прогнозе социально-экономического развития Кыргызской Республики на 2017-2019 годы</w:t>
      </w:r>
    </w:p>
    <w:p>
      <w:pPr>
        <w:spacing w:after="120"/>
        <w:jc w:val="both"/>
      </w:pPr>
      <w:r>
        <w:rPr>
          <w:rFonts w:ascii="Arial" w:cs="Arial" w:eastAsia="Arial" w:hAnsi="Arial"/>
          <w:sz w:val="24"/>
          <w:szCs w:val="24"/>
        </w:rPr>
        <w:t xml:space="preserve">В целях определения макроэкономических параметров развития и формирования среднесрочного прогноза бюджета Кыргызской Республики на 2017-2019 годы, в соответствии с </w:t>
      </w:r>
      <w:hyperlink w:history="1" r:id="rIdbtlqyqsr6n2yvlkpyxn5c">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государственном прогнозировании социально-экономического развития Кыргызской Республики", статьями 10 и 17 конституционного </w:t>
      </w:r>
      <w:hyperlink w:history="1" r:id="rIdzpmrnrlbnwo6j-qz-wgez">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w:t>
      </w:r>
      <w:hyperlink w:history="1" r:id="rId-rmdanxymnxxqq4ivn_yd">
        <w:r>
          <w:rPr>
            <w:rFonts w:ascii="Arial" w:cs="Arial" w:eastAsia="Arial" w:hAnsi="Arial"/>
            <w:color w:val="1D4ED8"/>
            <w:sz w:val="24"/>
            <w:szCs w:val="24"/>
            <w:u w:val="single"/>
          </w:rPr>
          <w:t xml:space="preserve">Среднесрочный прогноз</w:t>
        </w:r>
      </w:hyperlink>
      <w:r>
        <w:rPr>
          <w:rFonts w:ascii="Arial" w:cs="Arial" w:eastAsia="Arial" w:hAnsi="Arial"/>
          <w:sz w:val="24"/>
          <w:szCs w:val="24"/>
        </w:rPr>
        <w:t xml:space="preserve"> социально-экономического развития Кыргызской Республики на 2017-2019 годы согласно приложению.</w:t>
      </w:r>
    </w:p>
    <w:p>
      <w:pPr>
        <w:spacing w:after="120"/>
        <w:jc w:val="both"/>
      </w:pPr>
      <w:r>
        <w:rPr>
          <w:rFonts w:ascii="Arial" w:cs="Arial" w:eastAsia="Arial" w:hAnsi="Arial"/>
          <w:sz w:val="24"/>
          <w:szCs w:val="24"/>
        </w:rPr>
        <w:t xml:space="preserve">2. Министерству финансов Кыргызской Республики при формировании среднесрочного прогноза бюджета взять за основу утвержденные макроэкономические параметры развития Кыргызской Республики на 2017-2019 годы.</w:t>
      </w:r>
    </w:p>
    <w:p>
      <w:pPr>
        <w:spacing w:after="120"/>
        <w:jc w:val="both"/>
      </w:pPr>
      <w:r>
        <w:rPr>
          <w:rFonts w:ascii="Arial" w:cs="Arial" w:eastAsia="Arial" w:hAnsi="Arial"/>
          <w:sz w:val="24"/>
          <w:szCs w:val="24"/>
        </w:rPr>
        <w:t xml:space="preserve">3. Министерствам, административным ведомствам, иным органам исполнительной власти, аппаратам полномочных представителей Правительства Кыргызской Республики в областях, мэриям городов Бишкек и Ош (по согласованию) принять за основу утвержденные макроэкономические параметры развития на 2017-2019 годы при разработке среднесрочных программ и стратегий развития.</w:t>
      </w:r>
    </w:p>
    <w:p>
      <w:pPr>
        <w:spacing w:after="120"/>
        <w:jc w:val="both"/>
      </w:pPr>
      <w:r>
        <w:rPr>
          <w:rFonts w:ascii="Arial" w:cs="Arial" w:eastAsia="Arial" w:hAnsi="Arial"/>
          <w:sz w:val="24"/>
          <w:szCs w:val="24"/>
        </w:rPr>
        <w:t xml:space="preserve">4. Министерству экономики Кыргызской Республики осуществлять мониторинг выполнения целевых показателей социально-экономического развития Кыргызской Республики.</w:t>
      </w:r>
    </w:p>
    <w:p>
      <w:pPr>
        <w:spacing w:after="120"/>
        <w:jc w:val="both"/>
      </w:pPr>
      <w:r>
        <w:rPr>
          <w:rFonts w:ascii="Arial" w:cs="Arial" w:eastAsia="Arial" w:hAnsi="Arial"/>
          <w:sz w:val="24"/>
          <w:szCs w:val="24"/>
        </w:rPr>
        <w:t xml:space="preserve">5. Признать утратившим силу </w:t>
      </w:r>
      <w:hyperlink w:history="1" r:id="rIdxdwvophgdq47ngvfvlev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Среднесрочном прогнозе социально-экономического развития Кыргызской Республики на 2016-2018 годы" от 25 мая 2015 года № 317.</w:t>
      </w:r>
    </w:p>
    <w:p>
      <w:pPr>
        <w:spacing w:after="120"/>
        <w:jc w:val="both"/>
      </w:pPr>
      <w:r>
        <w:rPr>
          <w:rFonts w:ascii="Arial" w:cs="Arial" w:eastAsia="Arial" w:hAnsi="Arial"/>
          <w:sz w:val="24"/>
          <w:szCs w:val="24"/>
        </w:rPr>
        <w:t xml:space="preserve">6. Контроль за исполнением настоящего постановления возложить на отдел экономики и инвестиций Аппарата Правительства Кыргызской Республики.</w:t>
      </w:r>
    </w:p>
    <w:p>
      <w:pPr>
        <w:spacing w:after="120"/>
        <w:jc w:val="both"/>
      </w:pPr>
      <w:r>
        <w:rPr>
          <w:rFonts w:ascii="Arial" w:cs="Arial" w:eastAsia="Arial" w:hAnsi="Arial"/>
          <w:sz w:val="24"/>
          <w:szCs w:val="24"/>
        </w:rPr>
        <w:t xml:space="preserve">7. Настоящее постановление вступает в силу по истечении десяти дней со дня официального опубликования.</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w:t>
      </w:r>
      <w:r>
        <w:rPr>
          <w:rFonts w:ascii="Arial" w:cs="Arial" w:eastAsia="Arial" w:hAnsi="Arial"/>
          <w:sz w:val="24"/>
          <w:szCs w:val="24"/>
        </w:rPr>
        <w:t xml:space="preserve">	</w:t>
      </w:r>
      <w:r>
        <w:rPr>
          <w:rFonts w:ascii="Arial" w:cs="Arial" w:eastAsia="Arial" w:hAnsi="Arial"/>
          <w:b/>
          <w:bCs/>
          <w:sz w:val="24"/>
          <w:szCs w:val="24"/>
        </w:rPr>
        <w:t xml:space="preserve">С.Жээнбеков</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w:t>
      </w:r>
    </w:p>
    <w:p>
      <w:pPr>
        <w:spacing w:after="400" w:before="400"/>
        <w:jc w:val="center"/>
      </w:pPr>
      <w:r>
        <w:rPr>
          <w:rFonts w:ascii="Arial" w:cs="Arial" w:eastAsia="Arial" w:hAnsi="Arial"/>
          <w:b/>
          <w:bCs/>
          <w:sz w:val="32"/>
          <w:szCs w:val="32"/>
        </w:rPr>
        <w:t xml:space="preserve">СРЕДНЕСРОЧНЫЙ ПРОГНОЗ
 социально-экономического развития Кыргызской Республики на 2017-2019 годы</w:t>
      </w:r>
    </w:p>
    <w:p>
      <w:pPr>
        <w:spacing w:after="200" w:before="200"/>
        <w:jc w:val="center"/>
      </w:pPr>
      <w:r>
        <w:rPr>
          <w:rFonts w:ascii="Arial" w:cs="Arial" w:eastAsia="Arial" w:hAnsi="Arial"/>
          <w:b/>
          <w:bCs/>
          <w:sz w:val="24"/>
          <w:szCs w:val="24"/>
        </w:rPr>
        <w:t xml:space="preserve">1. Введение</w:t>
      </w:r>
    </w:p>
    <w:p>
      <w:pPr>
        <w:spacing w:after="60"/>
        <w:ind w:firstLine="567"/>
        <w:jc w:val="both"/>
      </w:pPr>
      <w:r>
        <w:rPr>
          <w:rFonts w:ascii="Arial" w:cs="Arial" w:eastAsia="Arial" w:hAnsi="Arial"/>
          <w:sz w:val="24"/>
          <w:szCs w:val="24"/>
        </w:rPr>
        <w:t xml:space="preserve">Основной целью Среднесрочного прогноза социально-экономического развития Кыргызской Республики на 2017-2019 годы является определение ориентиров и мер социально-экономической политики для государственных органов, органов местного самоуправления, хозяйствующих субъектов, населения на среднесрочный период путем уточнения и конкретизации тенденций и предпосылок, выявления имеющихся ресурсов и возможных факторов риска для развития экономики страны.</w:t>
      </w:r>
    </w:p>
    <w:p>
      <w:pPr>
        <w:spacing w:after="60"/>
        <w:ind w:firstLine="567"/>
        <w:jc w:val="both"/>
      </w:pPr>
      <w:r>
        <w:rPr>
          <w:rFonts w:ascii="Arial" w:cs="Arial" w:eastAsia="Arial" w:hAnsi="Arial"/>
          <w:sz w:val="24"/>
          <w:szCs w:val="24"/>
        </w:rPr>
        <w:t xml:space="preserve">Макроэкономический прогноз рассчитан на основе анализа тенденций развития экономики за 2014-2015 годы, оценки ожидаемых показателей в 2016 году и учитывает факторы сложившейся фактической ситуации.</w:t>
      </w:r>
    </w:p>
    <w:p>
      <w:pPr>
        <w:spacing w:after="60"/>
        <w:ind w:firstLine="567"/>
        <w:jc w:val="both"/>
      </w:pPr>
      <w:r>
        <w:rPr>
          <w:rFonts w:ascii="Arial" w:cs="Arial" w:eastAsia="Arial" w:hAnsi="Arial"/>
          <w:sz w:val="24"/>
          <w:szCs w:val="24"/>
        </w:rPr>
        <w:t xml:space="preserve">Среднесрочный прогноз социально-экономического развития Кыргызской Республики на 2017-2019 годы является основой для разработки проекта Среднесрочного бюджета Кыргызской Республики и может корректироваться ежегодно или по мере необходимости уточняться при выявлении новых внутренних и внешних условий функционирования экономики, появлении новых факторов риска.</w:t>
      </w:r>
    </w:p>
    <w:p>
      <w:pPr>
        <w:spacing w:after="200" w:before="200"/>
        <w:jc w:val="center"/>
      </w:pPr>
      <w:r>
        <w:rPr>
          <w:rFonts w:ascii="Arial" w:cs="Arial" w:eastAsia="Arial" w:hAnsi="Arial"/>
          <w:b/>
          <w:bCs/>
          <w:sz w:val="24"/>
          <w:szCs w:val="24"/>
        </w:rPr>
        <w:t xml:space="preserve">2. Краткий обзор макроэкономической ситуации за 2014-2015 годы</w:t>
      </w:r>
    </w:p>
    <w:p>
      <w:pPr>
        <w:spacing w:after="60"/>
        <w:ind w:firstLine="567"/>
        <w:jc w:val="both"/>
      </w:pPr>
      <w:r>
        <w:rPr>
          <w:rFonts w:ascii="Arial" w:cs="Arial" w:eastAsia="Arial" w:hAnsi="Arial"/>
          <w:sz w:val="24"/>
          <w:szCs w:val="24"/>
        </w:rPr>
        <w:t xml:space="preserve">Макроэкономические условия в 2014-2015 годах складывались неблагоприятно для экономического развития государств - членов Евразийского экономического союза (далее - ЕАЭС). Основными причинами для всех экономик явилось значительное ухудшение внешних условий торговли, связанные с ним вторичные эффекты взаимного влияния экономик.</w:t>
      </w:r>
    </w:p>
    <w:p>
      <w:pPr>
        <w:spacing w:after="60"/>
        <w:ind w:firstLine="567"/>
        <w:jc w:val="both"/>
      </w:pPr>
      <w:r>
        <w:rPr>
          <w:rFonts w:ascii="Arial" w:cs="Arial" w:eastAsia="Arial" w:hAnsi="Arial"/>
          <w:sz w:val="24"/>
          <w:szCs w:val="24"/>
        </w:rPr>
        <w:t xml:space="preserve">Основными факторами, формировавшими внешние условия, выступило сохранение тренда на снижение цен сырьевых товаров, усиление напряженности на финансовых рынках, замедление экономической активности в Китае и развивающихся странах, а также в странах-экспортерах сырьевых товаров, сокращение трансграничных потоков капитала в результате поэтапного сворачивания стимулирующей денежно-кредитной политики в США и сокращения ликвидности на международных финансовых рынках. Сохраняется неравномерность в темпах роста крупнейших мировых экономик. По предварительной оценке Международного валютного фонда (далее - МВФ), темпы роста мировой экономики замедлились с 3,4% в 2014 году до 3,1% в 2015 году. Экономический рост в Китае тоже замедлился с 7,3% в 2014 году до 6,9% в 2015 году.</w:t>
      </w:r>
    </w:p>
    <w:p>
      <w:pPr>
        <w:spacing w:after="120" w:before="200"/>
        <w:ind w:firstLine="567"/>
        <w:jc w:val="left"/>
      </w:pPr>
      <w:r>
        <w:rPr>
          <w:rFonts w:ascii="Arial" w:cs="Arial" w:eastAsia="Arial" w:hAnsi="Arial"/>
          <w:b/>
          <w:bCs/>
          <w:sz w:val="24"/>
          <w:szCs w:val="24"/>
        </w:rPr>
        <w:t xml:space="preserve">Таблица 1. Темпы роста мировой экономики, в %</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16"/>
        <w:gridCol w:w="2062"/>
        <w:gridCol w:w="2062"/>
        <w:gridCol w:w="3039"/>
      </w:tblGrid>
      <w:tr>
        <w:tc>
          <w:tcPr>
            <w:tcW w:type="dxa" w:w="301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Страны</w:t>
            </w:r>
          </w:p>
        </w:tc>
        <w:tc>
          <w:tcPr>
            <w:tcW w:type="dxa" w:w="206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2013 г., факт</w:t>
            </w:r>
          </w:p>
        </w:tc>
        <w:tc>
          <w:tcPr>
            <w:tcW w:type="dxa" w:w="206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2014 г., факт</w:t>
            </w:r>
          </w:p>
        </w:tc>
        <w:tc>
          <w:tcPr>
            <w:tcW w:type="dxa" w:w="303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 предв. факт</w:t>
            </w:r>
          </w:p>
        </w:tc>
      </w:tr>
      <w:tr>
        <w:tc>
          <w:tcPr>
            <w:tcW w:type="dxa" w:w="30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Мировая экономика</w:t>
            </w:r>
          </w:p>
        </w:tc>
        <w:tc>
          <w:tcPr>
            <w:tcW w:type="dxa" w:w="20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20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30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r>
      <w:tr>
        <w:tc>
          <w:tcPr>
            <w:tcW w:type="dxa" w:w="30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Еврозона</w:t>
            </w:r>
          </w:p>
        </w:tc>
        <w:tc>
          <w:tcPr>
            <w:tcW w:type="dxa" w:w="20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99,6</w:t>
            </w:r>
          </w:p>
        </w:tc>
        <w:tc>
          <w:tcPr>
            <w:tcW w:type="dxa" w:w="20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100,9</w:t>
            </w:r>
          </w:p>
        </w:tc>
        <w:tc>
          <w:tcPr>
            <w:tcW w:type="dxa" w:w="30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r>
      <w:tr>
        <w:tc>
          <w:tcPr>
            <w:tcW w:type="dxa" w:w="30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Китай</w:t>
            </w:r>
          </w:p>
        </w:tc>
        <w:tc>
          <w:tcPr>
            <w:tcW w:type="dxa" w:w="20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107,7</w:t>
            </w:r>
          </w:p>
        </w:tc>
        <w:tc>
          <w:tcPr>
            <w:tcW w:type="dxa" w:w="20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107,3</w:t>
            </w:r>
          </w:p>
        </w:tc>
        <w:tc>
          <w:tcPr>
            <w:tcW w:type="dxa" w:w="30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106,9</w:t>
            </w:r>
          </w:p>
        </w:tc>
      </w:tr>
    </w:tbl>
    <w:p>
      <w:pPr>
        <w:spacing w:after="60" w:before="120"/>
        <w:ind w:firstLine="567"/>
        <w:jc w:val="both"/>
      </w:pPr>
      <w:r>
        <w:rPr>
          <w:rFonts w:ascii="Arial" w:cs="Arial" w:eastAsia="Arial" w:hAnsi="Arial"/>
          <w:sz w:val="24"/>
          <w:szCs w:val="24"/>
        </w:rPr>
        <w:t xml:space="preserve">Экономическое развитие государств - членов ЕАЭС в 2014-2015 годах происходило на фоне возросшей волатильности основных макроэкономических индикаторов - валовой внутренний продукт (далее - ВВП), инфляция, бюджетный дефицит, а также финансовых рынков - курсы валют, процентные ставки и т.д.</w:t>
      </w:r>
    </w:p>
    <w:p>
      <w:pPr>
        <w:spacing w:after="60"/>
        <w:ind w:firstLine="567"/>
        <w:jc w:val="both"/>
      </w:pPr>
      <w:r>
        <w:rPr>
          <w:rFonts w:ascii="Arial" w:cs="Arial" w:eastAsia="Arial" w:hAnsi="Arial"/>
          <w:sz w:val="24"/>
          <w:szCs w:val="24"/>
        </w:rPr>
        <w:t xml:space="preserve">Снижение цен экспорта в государствах - членах ЕАЭС (цена на сырую нефть снизилась почти в 1,6 раза. Так, цена на нефть Brent, по состоянию на 31 декабря 2015 года, составила 36,56 долл/баррель, тогда как в аналогичном периоде 2014 года составляла 57,54 долл/баррель) привело к сокращению доходов экспортеров, оказало негативное влияние на состояние торговых балансов и бюджетов сектора государственного управления государств-членов ЕАЭС. Это в свою очередь усилило давление на международные резервные активы и курсы национальных валют, в результате риски для макроэкономической стабильности усилились. Темпы роста ВВП ЕАЭС снизились в силу рецессии в России и Беларусь и замедления темпов экономического роста в других экономиках ЕАЭС. Большая часть макроэкономических показателей в течение 2015 года демонстрировала негативную динамику, которая определялась уровнем внутреннего спроса и реального обменного курса, которые являются отражением базовых экономических условий и макроэкономической политики.</w:t>
      </w:r>
    </w:p>
    <w:p>
      <w:pPr>
        <w:spacing w:after="60"/>
        <w:ind w:firstLine="567"/>
        <w:jc w:val="both"/>
      </w:pPr>
      <w:r>
        <w:rPr>
          <w:rFonts w:ascii="Arial" w:cs="Arial" w:eastAsia="Arial" w:hAnsi="Arial"/>
          <w:sz w:val="24"/>
          <w:szCs w:val="24"/>
        </w:rPr>
        <w:t xml:space="preserve">По итогам 2015 года в России и Республике Беларусь сложилась отрицательная динамика экономического роста: -3,7% и -3,9% соответственно; в Казахстане и Армении рост замедлился до 1,2% и 3,0% соответственно.</w:t>
      </w:r>
    </w:p>
    <w:p>
      <w:pPr>
        <w:spacing w:after="60"/>
        <w:ind w:firstLine="567"/>
        <w:jc w:val="both"/>
      </w:pPr>
      <w:r>
        <w:rPr>
          <w:rFonts w:ascii="Arial" w:cs="Arial" w:eastAsia="Arial" w:hAnsi="Arial"/>
          <w:sz w:val="24"/>
          <w:szCs w:val="24"/>
        </w:rPr>
        <w:t xml:space="preserve">Ослабление национальных валют и переход государств-членов к более гибкому курсообразованию в 2014-2015 годах негативно повлияли на внутренний спрос (потребительский и инвестиционный). Укрепление курса доллара США по отношению к валютам государств - членов ЕАЭС составило в среднем 34,4%.</w:t>
      </w:r>
    </w:p>
    <w:p>
      <w:pPr>
        <w:spacing w:after="60"/>
        <w:ind w:firstLine="567"/>
        <w:jc w:val="both"/>
      </w:pPr>
      <w:r>
        <w:rPr>
          <w:rFonts w:ascii="Arial" w:cs="Arial" w:eastAsia="Arial" w:hAnsi="Arial"/>
          <w:sz w:val="24"/>
          <w:szCs w:val="24"/>
        </w:rPr>
        <w:t xml:space="preserve">2015 год характеризуется высоким уровнем роста инфляции в странах - основных торговых партнерах: Казахстане - 13,6%, России - 12,9%, Республике Беларусь - 12,0%.</w:t>
      </w:r>
    </w:p>
    <w:p>
      <w:pPr>
        <w:spacing w:after="120" w:before="200"/>
        <w:ind w:firstLine="567"/>
        <w:jc w:val="left"/>
      </w:pPr>
      <w:r>
        <w:rPr>
          <w:rFonts w:ascii="Arial" w:cs="Arial" w:eastAsia="Arial" w:hAnsi="Arial"/>
          <w:b/>
          <w:bCs/>
          <w:sz w:val="24"/>
          <w:szCs w:val="24"/>
        </w:rPr>
        <w:t xml:space="preserve">Таблица 2. Показатели социально-экономического развития ЕАЭС, в %</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453"/>
        <w:gridCol w:w="1242"/>
        <w:gridCol w:w="1242"/>
        <w:gridCol w:w="1242"/>
      </w:tblGrid>
      <w:tr>
        <w:tc>
          <w:tcPr>
            <w:tcW w:type="dxa" w:w="6453"/>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2013 г.</w:t>
            </w:r>
          </w:p>
        </w:tc>
        <w:tc>
          <w:tcPr>
            <w:tcW w:type="dxa" w:w="124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2014 г.</w:t>
            </w:r>
          </w:p>
        </w:tc>
        <w:tc>
          <w:tcPr>
            <w:tcW w:type="dxa" w:w="124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w:t>
            </w:r>
          </w:p>
        </w:tc>
      </w:tr>
      <w:tr>
        <w:tc>
          <w:tcPr>
            <w:vMerge w:val="continue"/>
            <w:tcBorders>
              <w:top w:val="single" w:color="CBBF9E" w:sz="4"/>
              <w:left w:val="single" w:color="CBBF9E" w:sz="4"/>
              <w:bottom w:val="single" w:color="CBBF9E" w:sz="4"/>
              <w:right w:val="single" w:color="CBBF9E" w:sz="4"/>
            </w:tcBorders>
          </w:tcP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предв. факт</w:t>
            </w:r>
          </w:p>
        </w:tc>
      </w:tr>
      <w:tr>
        <w:tc>
          <w:tcPr>
            <w:tcW w:type="dxa" w:w="64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ВВП, темп прироста в %</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r>
      <w:tr>
        <w:tc>
          <w:tcPr>
            <w:tcW w:type="dxa" w:w="64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них:</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4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Армения</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r>
      <w:tr>
        <w:tc>
          <w:tcPr>
            <w:tcW w:type="dxa" w:w="64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Республика Беларусь</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w:t>
            </w:r>
          </w:p>
        </w:tc>
      </w:tr>
      <w:tr>
        <w:tc>
          <w:tcPr>
            <w:tcW w:type="dxa" w:w="64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Казахстан</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r>
      <w:tr>
        <w:tc>
          <w:tcPr>
            <w:tcW w:type="dxa" w:w="64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Кыргызстан</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r>
      <w:tr>
        <w:tc>
          <w:tcPr>
            <w:tcW w:type="dxa" w:w="64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Россия</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w:t>
            </w:r>
          </w:p>
        </w:tc>
      </w:tr>
      <w:tr>
        <w:tc>
          <w:tcPr>
            <w:tcW w:type="dxa" w:w="64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Инвестиции в основной капитал, темп прироста ИФС в %</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w:t>
            </w:r>
          </w:p>
        </w:tc>
      </w:tr>
      <w:tr>
        <w:tc>
          <w:tcPr>
            <w:tcW w:type="dxa" w:w="64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Инфляция (ИПЦ), декабрь к декабрю, в %</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106,7</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111,2</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112,4</w:t>
            </w:r>
          </w:p>
        </w:tc>
      </w:tr>
      <w:tr>
        <w:tc>
          <w:tcPr>
            <w:tcW w:type="dxa" w:w="64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Инфляция (ИПЦ) в среднем за год, в %</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107,1</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108,1</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114,1</w:t>
            </w:r>
          </w:p>
        </w:tc>
      </w:tr>
      <w:tr>
        <w:tc>
          <w:tcPr>
            <w:tcW w:type="dxa" w:w="64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Средняя заработная плата в долларах США</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863,1</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796,8</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545,3</w:t>
            </w:r>
          </w:p>
        </w:tc>
      </w:tr>
    </w:tbl>
    <w:p>
      <w:pPr>
        <w:spacing w:after="60" w:before="120"/>
        <w:ind w:firstLine="567"/>
        <w:jc w:val="both"/>
      </w:pPr>
      <w:r>
        <w:rPr>
          <w:rFonts w:ascii="Arial" w:cs="Arial" w:eastAsia="Arial" w:hAnsi="Arial"/>
          <w:sz w:val="24"/>
          <w:szCs w:val="24"/>
        </w:rPr>
        <w:t xml:space="preserve">Экономическое развитие Кыргызской Республики в данный период происходило на фоне указанных внешних вызовов/рисков. В результате сузился внутренний и внешний спрос, который отразился прежде всего на всех видах деятельности обрабатывающего производства, где наблюдалась отрицательная динамика роста. Отток капитала продолжился в 2015 году, где удельный вес составил половину поступивших прямых инвестиций (50,6%), валовое накопление основного капитала в течение нескольких кварталов подряд вносит отрицательный вклад в прирост ВВП. Снижение инвестиций обусловлено прежде всего падением капитальных вложений в таких видах экономической деятельности, как обрабатывающая промышленность, транспорт и связь, добыча полезных ископаемых, в то время как инвестиции в топливно-энергетический сектор увеличиваются.</w:t>
      </w:r>
    </w:p>
    <w:p>
      <w:pPr>
        <w:spacing w:after="60"/>
        <w:ind w:firstLine="567"/>
        <w:jc w:val="both"/>
      </w:pPr>
      <w:r>
        <w:rPr>
          <w:rFonts w:ascii="Arial" w:cs="Arial" w:eastAsia="Arial" w:hAnsi="Arial"/>
          <w:sz w:val="24"/>
          <w:szCs w:val="24"/>
        </w:rPr>
        <w:t xml:space="preserve">Снизился чистый приток денежных переводов физических лиц на 25,8% и в 2015 году составил 1344,4 млн. долл. США против 1811,9 млн. долл. США в 2014 году.</w:t>
      </w:r>
    </w:p>
    <w:p>
      <w:pPr>
        <w:spacing w:after="60"/>
        <w:ind w:firstLine="567"/>
        <w:jc w:val="both"/>
      </w:pPr>
      <w:r>
        <w:rPr>
          <w:rFonts w:ascii="Arial" w:cs="Arial" w:eastAsia="Arial" w:hAnsi="Arial"/>
          <w:sz w:val="24"/>
          <w:szCs w:val="24"/>
        </w:rPr>
        <w:t xml:space="preserve">Под влиянием данных факторов падение курса национальной валюты по отношению к доллару США по состоянию на 31 декабря 2015 года составило 28,9%. В результате направленных интервенций Национального банка Кыргызской Республики (далее - Национальный банк) на сглаживание излишней волатильности курса объем валовых международных резервов за 2015 год сократился на 9,2%. Ввиду более быстрого роста цен в основных странах - торговых партнерах реальный эффективный курс сома укрепился.</w:t>
      </w:r>
    </w:p>
    <w:p>
      <w:pPr>
        <w:spacing w:after="60"/>
        <w:ind w:firstLine="567"/>
        <w:jc w:val="both"/>
      </w:pPr>
      <w:r>
        <w:rPr>
          <w:rFonts w:ascii="Arial" w:cs="Arial" w:eastAsia="Arial" w:hAnsi="Arial"/>
          <w:sz w:val="24"/>
          <w:szCs w:val="24"/>
        </w:rPr>
        <w:t xml:space="preserve">После резкого увеличения в начале года инфляция стала замедляться вследствие снижения цен на мировых рынках и предпринятых мер. На фоне замедления инфляции учетная ставка последовательно снижалась с 11% до 9,5% в мае и до 8% в июле 2015 года. Вместе с тем вследствие возросших рисков ускорения роста цен, волатильности на валютном рынке (в конце августа 2015 года Казахстан, являющийся одним из основных торговых партнеров Кыргызстана, перешел к более гибкому режиму курса национальной валюты) Национальный банк увеличил в сентябре учетную ставку до 10% и сохранил ее на таком уровне до конца года.</w:t>
      </w:r>
    </w:p>
    <w:p>
      <w:pPr>
        <w:spacing w:after="60"/>
        <w:ind w:firstLine="567"/>
        <w:jc w:val="both"/>
      </w:pPr>
      <w:r>
        <w:rPr>
          <w:rFonts w:ascii="Arial" w:cs="Arial" w:eastAsia="Arial" w:hAnsi="Arial"/>
          <w:sz w:val="24"/>
          <w:szCs w:val="24"/>
        </w:rPr>
        <w:t xml:space="preserve">На фоне влияния негативных факторов экономический рост в 2015 году замедлился до 3,5% с 4,0% в 2014 году. Без учета предприятий по разработке месторождения Кумтор прирост реального ВВП составил 4,5%, против 5,0% в 2014 году. В расчете на душу населения объем ВВП составил 74,4 тыс. сомов и по сравнению с 2014 годом возрос на 1,4%.</w:t>
      </w:r>
    </w:p>
    <w:p>
      <w:pPr>
        <w:spacing w:after="120" w:before="200"/>
        <w:ind w:firstLine="567"/>
        <w:jc w:val="left"/>
      </w:pPr>
      <w:r>
        <w:rPr>
          <w:rFonts w:ascii="Arial" w:cs="Arial" w:eastAsia="Arial" w:hAnsi="Arial"/>
          <w:b/>
          <w:bCs/>
          <w:sz w:val="24"/>
          <w:szCs w:val="24"/>
        </w:rPr>
        <w:t xml:space="preserve">Таблица 3. Структура и темпы роста по секторам, формирующим ВВП(1)</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10"/>
        <w:gridCol w:w="1059"/>
        <w:gridCol w:w="1059"/>
        <w:gridCol w:w="1059"/>
        <w:gridCol w:w="1148"/>
        <w:gridCol w:w="1148"/>
        <w:gridCol w:w="1148"/>
        <w:gridCol w:w="1148"/>
      </w:tblGrid>
      <w:tr>
        <w:tc>
          <w:tcPr>
            <w:tcW w:type="dxa" w:w="2410"/>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Показатели</w:t>
            </w:r>
          </w:p>
        </w:tc>
        <w:tc>
          <w:tcPr>
            <w:tcW w:type="dxa" w:w="3177"/>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2014 г., факт</w:t>
            </w:r>
          </w:p>
        </w:tc>
        <w:tc>
          <w:tcPr>
            <w:tcW w:type="dxa" w:w="4592"/>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 предв. факт</w:t>
            </w:r>
          </w:p>
        </w:tc>
      </w:tr>
      <w:tr>
        <w:tc>
          <w:tcPr>
            <w:vMerge w:val="continue"/>
            <w:tcBorders>
              <w:top w:val="single" w:color="CBBF9E" w:sz="4"/>
              <w:left w:val="single" w:color="CBBF9E" w:sz="4"/>
              <w:bottom w:val="single" w:color="CBBF9E" w:sz="4"/>
              <w:right w:val="single" w:color="CBBF9E" w:sz="4"/>
            </w:tcBorders>
          </w:tcPr>
          <w:p/>
        </w:tc>
        <w:tc>
          <w:tcPr>
            <w:tcW w:type="dxa" w:w="105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млн. сомов</w:t>
            </w:r>
          </w:p>
        </w:tc>
        <w:tc>
          <w:tcPr>
            <w:tcW w:type="dxa" w:w="105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темп роста, %</w:t>
            </w:r>
          </w:p>
        </w:tc>
        <w:tc>
          <w:tcPr>
            <w:tcW w:type="dxa" w:w="105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 к ВВП</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млн. сомов</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темп роста, %</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 к ВВП</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доля вклада в рост ВВП, п.п.</w:t>
            </w:r>
          </w:p>
        </w:tc>
      </w:tr>
      <w:tr>
        <w:tc>
          <w:tcPr>
            <w:tcW w:type="dxa" w:w="24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w:t>
            </w:r>
          </w:p>
        </w:tc>
        <w:tc>
          <w:tcPr>
            <w:tcW w:type="dxa" w:w="10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400694,0</w:t>
            </w:r>
          </w:p>
        </w:tc>
        <w:tc>
          <w:tcPr>
            <w:tcW w:type="dxa" w:w="10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10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423635,5</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r>
      <w:tr>
        <w:tc>
          <w:tcPr>
            <w:tcW w:type="dxa" w:w="24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w:t>
            </w:r>
          </w:p>
        </w:tc>
        <w:tc>
          <w:tcPr>
            <w:tcW w:type="dxa" w:w="10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65938,4</w:t>
            </w:r>
          </w:p>
        </w:tc>
        <w:tc>
          <w:tcPr>
            <w:tcW w:type="dxa" w:w="10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98,4</w:t>
            </w:r>
          </w:p>
        </w:tc>
        <w:tc>
          <w:tcPr>
            <w:tcW w:type="dxa" w:w="10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64959,7</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95,8</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15,3</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-0,69</w:t>
            </w:r>
          </w:p>
        </w:tc>
      </w:tr>
      <w:tr>
        <w:tc>
          <w:tcPr>
            <w:tcW w:type="dxa" w:w="24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w:t>
            </w:r>
          </w:p>
        </w:tc>
        <w:tc>
          <w:tcPr>
            <w:tcW w:type="dxa" w:w="10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58976,8</w:t>
            </w:r>
          </w:p>
        </w:tc>
        <w:tc>
          <w:tcPr>
            <w:tcW w:type="dxa" w:w="10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99,5</w:t>
            </w:r>
          </w:p>
        </w:tc>
        <w:tc>
          <w:tcPr>
            <w:tcW w:type="dxa" w:w="10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14,7</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59395,6</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0,91</w:t>
            </w:r>
          </w:p>
        </w:tc>
      </w:tr>
      <w:tr>
        <w:tc>
          <w:tcPr>
            <w:tcW w:type="dxa" w:w="24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10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29780,3</w:t>
            </w:r>
          </w:p>
        </w:tc>
        <w:tc>
          <w:tcPr>
            <w:tcW w:type="dxa" w:w="10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127,1</w:t>
            </w:r>
          </w:p>
        </w:tc>
        <w:tc>
          <w:tcPr>
            <w:tcW w:type="dxa" w:w="10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35322,9</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113,9</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r>
      <w:tr>
        <w:tc>
          <w:tcPr>
            <w:tcW w:type="dxa" w:w="24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Услуги</w:t>
            </w:r>
          </w:p>
        </w:tc>
        <w:tc>
          <w:tcPr>
            <w:tcW w:type="dxa" w:w="10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190067,4</w:t>
            </w:r>
          </w:p>
        </w:tc>
        <w:tc>
          <w:tcPr>
            <w:tcW w:type="dxa" w:w="10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c>
          <w:tcPr>
            <w:tcW w:type="dxa" w:w="10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47,4</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212901,9</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50,3</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1,73</w:t>
            </w:r>
          </w:p>
        </w:tc>
      </w:tr>
      <w:tr>
        <w:tc>
          <w:tcPr>
            <w:tcW w:type="dxa" w:w="24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Чистые налоги на продукты и импорт</w:t>
            </w:r>
          </w:p>
        </w:tc>
        <w:tc>
          <w:tcPr>
            <w:tcW w:type="dxa" w:w="10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55931,1</w:t>
            </w:r>
          </w:p>
        </w:tc>
        <w:tc>
          <w:tcPr>
            <w:tcW w:type="dxa" w:w="10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10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51055,4</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0,49</w:t>
            </w:r>
          </w:p>
        </w:tc>
      </w:tr>
    </w:tbl>
    <w:p>
      <w:pPr>
        <w:spacing w:after="60" w:before="120"/>
        <w:ind w:firstLine="567"/>
        <w:jc w:val="both"/>
      </w:pPr>
      <w:r>
        <w:rPr>
          <w:rFonts w:ascii="Arial" w:cs="Arial" w:eastAsia="Arial" w:hAnsi="Arial"/>
          <w:sz w:val="24"/>
          <w:szCs w:val="24"/>
        </w:rPr>
        <w:t xml:space="preserve">Экономический рост обеспечен почти всеми секторами экономики, кроме промышленности; положительный вклад оценивается в сельском хозяйстве (реальный рост на 6,2%) на уровне 0,91 процентных пункта, строительстве (реальный рост на 13,9%) на уровне 1,1 и сферы </w:t>
      </w:r>
      <w:r>
        <w:rPr>
          <w:rFonts w:ascii="Arial" w:cs="Arial" w:eastAsia="Arial" w:hAnsi="Arial"/>
          <w:sz w:val="24"/>
          <w:szCs w:val="24"/>
        </w:rPr>
        <w:t xml:space="preserve">услуг (реальный рост на 3,7%) на уровне 1,73 процентных пункта. Отрицательный вклад в формирование ВВП внесло сокращение в производстве промышленности (снижение объемов на 4,2%) на уровне 0,69 процентных пункта, которое обусловлено загрузкой производственных мощностей в среднем на 53,1% из-за сокращения заказов вследствие снижения покупательской способности на основных экспортных рынках республики - Российской Федерации и Республики Казахстан, неконкурентоспособности продукции отечественных производителей, нехватки оборотных средств, неплатежеспособности заказчиков, недостаточного спроса на готовую продукцию внутри страны, дефицита сырья и материалов, отключения электроэнергии. Снижены объемы производства золота на месторождении Кумтор и открытом акционерном обществе "Кыргызалтын" по сравнению с 2014 годом (91,7%), и выработки электроэнергии - на 11,2%.</w:t>
      </w:r>
    </w:p>
    <w:p>
      <w:pPr>
        <w:spacing w:after="60"/>
        <w:ind w:firstLine="567"/>
        <w:jc w:val="both"/>
      </w:pPr>
      <w:r>
        <w:rPr>
          <w:rFonts w:ascii="Arial" w:cs="Arial" w:eastAsia="Arial" w:hAnsi="Arial"/>
          <w:sz w:val="24"/>
          <w:szCs w:val="24"/>
        </w:rPr>
        <w:t xml:space="preserve">В течение большей части года промышленное производство увеличивалось (в январе-сентябре 2015 года - на 17,5%), однако за год оно сократилось на 4,2%. Главным образом это было обусловлено уменьшением выработки золота. Выпуск в ряде не связанных с золотом отраслей, но имеющих высокую значимость для экономики (производство пищевых продуктов, текстильное производство и др.) был ниже соответствующего уровня 2014 года на протяжении всего анализируемого периода. После имевшего место в 2013-2014 годах падения рост добычи полезных ископаемых в 1,6 раза в 2015 году оказал существенную поддержку промышленности.</w:t>
      </w:r>
    </w:p>
    <w:p>
      <w:pPr>
        <w:spacing w:after="60"/>
        <w:ind w:firstLine="567"/>
        <w:jc w:val="both"/>
      </w:pPr>
      <w:r>
        <w:rPr>
          <w:rFonts w:ascii="Arial" w:cs="Arial" w:eastAsia="Arial" w:hAnsi="Arial"/>
          <w:sz w:val="24"/>
          <w:szCs w:val="24"/>
        </w:rPr>
        <w:t xml:space="preserve">Уменьшение объема поступлений денежных переводов физических лиц относительно 2014 года, которое не было компенсировано ростом реальной заработной платы, а также ослабление курса национальной валюты по отношению к доллару США обусловили снижение потребительского спроса. В то же время благоприятное воздействие на спрос населения оказало повышение размера реальной заработной платы (рост на 2,5%), объемов потребительского кредитования (рост на 31,1%) и замедление инфляции (за счет продовольственной группы товаров). В 2015 году удалось снизить уровень инфляции до однозначных значений (индекс потребительских цен к декабрю 2014 года составил 103,4%, а среднегодовое значение - 106,5% (январь-декабрь 2015 года к январю-декабрю 2014 года).</w:t>
      </w:r>
    </w:p>
    <w:p>
      <w:pPr>
        <w:spacing w:after="120" w:before="200"/>
        <w:ind w:firstLine="567"/>
        <w:jc w:val="left"/>
      </w:pPr>
      <w:r>
        <w:rPr>
          <w:rFonts w:ascii="Arial" w:cs="Arial" w:eastAsia="Arial" w:hAnsi="Arial"/>
          <w:b/>
          <w:bCs/>
          <w:sz w:val="24"/>
          <w:szCs w:val="24"/>
        </w:rPr>
        <w:t xml:space="preserve">Таблица 4. Показатели индекса потребительских цен (ИПЦ)</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292"/>
        <w:gridCol w:w="1443"/>
        <w:gridCol w:w="1443"/>
      </w:tblGrid>
      <w:tr>
        <w:tc>
          <w:tcPr>
            <w:tcW w:type="dxa" w:w="729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ИПЦ</w:t>
            </w:r>
          </w:p>
        </w:tc>
        <w:tc>
          <w:tcPr>
            <w:tcW w:type="dxa" w:w="144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2014 г.</w:t>
            </w:r>
          </w:p>
        </w:tc>
        <w:tc>
          <w:tcPr>
            <w:tcW w:type="dxa" w:w="144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w:t>
            </w:r>
          </w:p>
        </w:tc>
      </w:tr>
      <w:tr>
        <w:tc>
          <w:tcPr>
            <w:tcW w:type="dxa" w:w="72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 к декабрю предыдущего года</w:t>
            </w:r>
          </w:p>
        </w:tc>
        <w:tc>
          <w:tcPr>
            <w:tcW w:type="dxa" w:w="1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110,5</w:t>
            </w:r>
          </w:p>
        </w:tc>
        <w:tc>
          <w:tcPr>
            <w:tcW w:type="dxa" w:w="1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r>
      <w:tr>
        <w:tc>
          <w:tcPr>
            <w:tcW w:type="dxa" w:w="72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 с соответствующему периоду предыдущего года (среднегодовое значение)</w:t>
            </w:r>
          </w:p>
        </w:tc>
        <w:tc>
          <w:tcPr>
            <w:tcW w:type="dxa" w:w="1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107,5</w:t>
            </w:r>
          </w:p>
        </w:tc>
        <w:tc>
          <w:tcPr>
            <w:tcW w:type="dxa" w:w="14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r>
    </w:tbl>
    <w:p>
      <w:pPr>
        <w:spacing w:after="60" w:before="120"/>
        <w:ind w:firstLine="567"/>
        <w:jc w:val="both"/>
      </w:pPr>
      <w:r>
        <w:rPr>
          <w:rFonts w:ascii="Arial" w:cs="Arial" w:eastAsia="Arial" w:hAnsi="Arial"/>
          <w:sz w:val="24"/>
          <w:szCs w:val="24"/>
        </w:rPr>
        <w:t xml:space="preserve">Снижение объемов выданных ипотечных кредитов и темпа роста инвестиций в основной капитал способствовало замедлению роста в сфере строительства. При этом уровень капитализации экономики возрос с 26,9% в 2014 году до 28,5% в 2015 году, в основном за счет увеличения объемов иностранных кредитов, средств населения.</w:t>
      </w:r>
    </w:p>
    <w:p>
      <w:pPr>
        <w:spacing w:after="120" w:before="200"/>
        <w:ind w:firstLine="567"/>
        <w:jc w:val="left"/>
      </w:pPr>
      <w:r>
        <w:rPr>
          <w:rFonts w:ascii="Arial" w:cs="Arial" w:eastAsia="Arial" w:hAnsi="Arial"/>
          <w:b/>
          <w:bCs/>
          <w:sz w:val="24"/>
          <w:szCs w:val="24"/>
        </w:rPr>
        <w:t xml:space="preserve">Таблица 5. Динамика роста инвестиции в основной капитал за 2014-2015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568"/>
        <w:gridCol w:w="1846"/>
        <w:gridCol w:w="2764"/>
      </w:tblGrid>
      <w:tr>
        <w:tc>
          <w:tcPr>
            <w:tcW w:type="dxa" w:w="556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Показатели</w:t>
            </w:r>
          </w:p>
        </w:tc>
        <w:tc>
          <w:tcPr>
            <w:tcW w:type="dxa" w:w="184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2014 г., факт</w:t>
            </w:r>
          </w:p>
        </w:tc>
        <w:tc>
          <w:tcPr>
            <w:tcW w:type="dxa" w:w="276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 предв. факт</w:t>
            </w:r>
          </w:p>
        </w:tc>
      </w:tr>
      <w:tr>
        <w:tc>
          <w:tcPr>
            <w:tcW w:type="dxa" w:w="55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Инвестиции в основной капитал, млн. сомов</w:t>
            </w:r>
          </w:p>
        </w:tc>
        <w:tc>
          <w:tcPr>
            <w:tcW w:type="dxa" w:w="18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107884,6</w:t>
            </w:r>
          </w:p>
        </w:tc>
        <w:tc>
          <w:tcPr>
            <w:tcW w:type="dxa" w:w="27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120878,9</w:t>
            </w:r>
          </w:p>
        </w:tc>
      </w:tr>
      <w:tr>
        <w:tc>
          <w:tcPr>
            <w:tcW w:type="dxa" w:w="55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8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124,9</w:t>
            </w:r>
          </w:p>
        </w:tc>
        <w:tc>
          <w:tcPr>
            <w:tcW w:type="dxa" w:w="27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r>
      <w:tr>
        <w:tc>
          <w:tcPr>
            <w:tcW w:type="dxa" w:w="55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инвестиции в основной капитал в % к ВВП</w:t>
            </w:r>
          </w:p>
        </w:tc>
        <w:tc>
          <w:tcPr>
            <w:tcW w:type="dxa" w:w="18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26,9</w:t>
            </w:r>
          </w:p>
        </w:tc>
        <w:tc>
          <w:tcPr>
            <w:tcW w:type="dxa" w:w="27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28,5</w:t>
            </w:r>
          </w:p>
        </w:tc>
      </w:tr>
    </w:tbl>
    <w:p>
      <w:pPr>
        <w:spacing w:after="60" w:before="120"/>
        <w:ind w:firstLine="567"/>
        <w:jc w:val="both"/>
      </w:pPr>
      <w:r>
        <w:rPr>
          <w:rFonts w:ascii="Arial" w:cs="Arial" w:eastAsia="Arial" w:hAnsi="Arial"/>
          <w:sz w:val="24"/>
          <w:szCs w:val="24"/>
        </w:rPr>
        <w:t xml:space="preserve">В условиях слабого внутреннего спроса существенно сократился объем импорта (на 29,6%). Ухудшение ожиданий предпринимателей улучшения условий торговли отдельными товарами, в основном автомобилей, в результате вступления Кыргызской Республики в ЕЭАС привело к значительному сокращению импорта этих категорий товаров, на которые ранее наблюдался повышенный спрос.</w:t>
      </w:r>
    </w:p>
    <w:p>
      <w:pPr>
        <w:spacing w:after="60"/>
        <w:ind w:firstLine="567"/>
        <w:jc w:val="both"/>
      </w:pPr>
      <w:r>
        <w:rPr>
          <w:rFonts w:ascii="Arial" w:cs="Arial" w:eastAsia="Arial" w:hAnsi="Arial"/>
          <w:sz w:val="24"/>
          <w:szCs w:val="24"/>
        </w:rPr>
        <w:t xml:space="preserve">Несмотря на сокращение поставок золота на внешние рынки и неблагоприятную ценовую конъюнктуру, его доля увеличилась и составила 39,7% совокупного объема товарного экспорта экономики. Экспорт товаров без учета золота сократился сильнее, отражая меньший спрос со стороны таких торговых партнеров, как Казахстан и Россия. Корректировка сальдо внешней торговли в результате опережающего сокращения импорта относительно экспорта выступило основным фактором сокращения дефицита по счету текущих операций.</w:t>
      </w:r>
    </w:p>
    <w:p>
      <w:pPr>
        <w:spacing w:after="60"/>
        <w:ind w:firstLine="567"/>
        <w:jc w:val="both"/>
      </w:pPr>
      <w:r>
        <w:rPr>
          <w:rFonts w:ascii="Arial" w:cs="Arial" w:eastAsia="Arial" w:hAnsi="Arial"/>
          <w:sz w:val="24"/>
          <w:szCs w:val="24"/>
        </w:rPr>
        <w:t xml:space="preserve">Отмечалась позитивная динамика развития банковского сектора, что сопровождалось увеличением объема кредитного портфеля, без учета кредитов, предоставленных банкам и другим финансово-кредитным учреждениям, который по состоянию на 31 декабря 2015 года составил 94,0 млрд. сомов, увеличившись с начала года на 19,3% (к концу 2014 года составлял 78,8 млрд. сомов). Кредит в экономику в 2015 году составил 96,2 млрд. сомов, увеличившись с начала года на 17,2% (в 2014 году 82,1 млрд. сомов).</w:t>
      </w:r>
    </w:p>
    <w:p>
      <w:pPr>
        <w:spacing w:after="60"/>
        <w:ind w:firstLine="567"/>
        <w:jc w:val="both"/>
      </w:pPr>
      <w:r>
        <w:rPr>
          <w:rFonts w:ascii="Arial" w:cs="Arial" w:eastAsia="Arial" w:hAnsi="Arial"/>
          <w:sz w:val="24"/>
          <w:szCs w:val="24"/>
        </w:rPr>
        <w:t xml:space="preserve">По итогам 2015 года доходы государственного бюджета в сравнении 2014 годом увеличились на 7,0%, а расходы - на 10,6%. Снижение объема полученных трансфертов было компенсировано ростом налоговых и неналоговых доходов. С ростом доходов увеличились операционные расходы по всем основным категориям. Существенный вклад внесло увеличение расходов на оплату труда работников, покупку нефинансовых активов, приобретение и использование товаров и услуг. Бюджетная политика была ориентирована на увеличение государственных инвестиций в инфраструктурные проекты.</w:t>
      </w:r>
    </w:p>
    <w:p>
      <w:pPr>
        <w:spacing w:after="60"/>
        <w:ind w:firstLine="567"/>
        <w:jc w:val="both"/>
      </w:pPr>
      <w:r>
        <w:rPr>
          <w:rFonts w:ascii="Arial" w:cs="Arial" w:eastAsia="Arial" w:hAnsi="Arial"/>
          <w:sz w:val="24"/>
          <w:szCs w:val="24"/>
        </w:rPr>
        <w:t xml:space="preserve">Дефицит государственного бюджета составил 1,5% к ВВП (в 2014 году - 0,5% к ВВП). Его покрытие осуществлялось преимущественно за счет внешних источников.</w:t>
      </w:r>
    </w:p>
    <w:p>
      <w:pPr>
        <w:spacing w:after="60"/>
        <w:ind w:firstLine="567"/>
        <w:jc w:val="both"/>
      </w:pPr>
      <w:r>
        <w:rPr>
          <w:rFonts w:ascii="Arial" w:cs="Arial" w:eastAsia="Arial" w:hAnsi="Arial"/>
          <w:sz w:val="24"/>
          <w:szCs w:val="24"/>
        </w:rPr>
        <w:t xml:space="preserve">Структура государственного долга не претерпевает сильных изменений: более 90% составляет внешний долг. В 2015 году по сравнению с 2014 годом внутренний долг в национальной валюте вырос на 25,3%, внешний долг в долларах США увеличился на 4,8%. Темпы ослабления национальной валюты опережают рост экономики, что негативно сказывается на отношении долга к ВВП. По итогам 2015 года уровень внешнего долга к ВВП составил 64,5%, превысив законодательно установленное пороговое значение в размере 60,0%, что в основном обусловлено негативной тенденцией на валютном рынке и фактическим объемом ВВП, который сложился ниже прогнозного. Преобладание льготных соглашений в структуре внешнего долга (98,6%) сглаживает негативные эффекты от снижения валютного курса.</w:t>
      </w:r>
    </w:p>
    <w:p>
      <w:pPr>
        <w:spacing w:after="60"/>
        <w:ind w:firstLine="567"/>
        <w:jc w:val="both"/>
      </w:pPr>
      <w:r>
        <w:rPr>
          <w:rFonts w:ascii="Arial" w:cs="Arial" w:eastAsia="Arial" w:hAnsi="Arial"/>
          <w:sz w:val="24"/>
          <w:szCs w:val="24"/>
        </w:rPr>
        <w:t xml:space="preserve">Выросли доходы населения и отмечено улучшение ситуации на рынке труда. В соответствии с основными целевыми показателями Национальной стратегии устойчивого развития Кыргызской Республики на период 2013-2017 годы (далее - НСУР) ежегодно должно создаваться 70 тыс. рабочих мест. В 2015 году в республике создано 109676 рабочих мест (в 2014 году - 110252 рабочих места). При содействии государственных служб занятости в 2015 году было трудоустроено 50,7 тыс. человек, на 5,5% больше, чем в 2014 году.</w:t>
      </w:r>
    </w:p>
    <w:p>
      <w:pPr>
        <w:spacing w:after="60"/>
        <w:ind w:firstLine="567"/>
        <w:jc w:val="both"/>
      </w:pPr>
      <w:r>
        <w:rPr>
          <w:rFonts w:ascii="Arial" w:cs="Arial" w:eastAsia="Arial" w:hAnsi="Arial"/>
          <w:sz w:val="24"/>
          <w:szCs w:val="24"/>
        </w:rPr>
        <w:t xml:space="preserve">Среднемесячная номинальная заработная плата одного работника (без учета малых предприятий) в 2015 году составила 13277 сомов, увеличившись по сравнению с 2014 годом на 9,2%, а ее реальный размер, исчисленный с учетом индекса потребительских цен, возрос на 2,5% (в 2014 году составляла 12285,0 сомов и по сравнению с 2013 годом увеличилась на 0,7%), что в 2,7 раза покрывает величину прожиточного минимума. Среднегодовая величина прожиточного минимума в 2015 году составила 4937,25 сома и по сравнению с 2014 годом возросла на 7,2%. За последние 3 года средний размер пенсии увеличился на 5,0% с 4432,0 до 4753,0 сомов.</w:t>
      </w:r>
    </w:p>
    <w:p>
      <w:pPr>
        <w:spacing w:after="60"/>
        <w:ind w:firstLine="567"/>
        <w:jc w:val="both"/>
      </w:pPr>
      <w:r>
        <w:rPr>
          <w:rFonts w:ascii="Arial" w:cs="Arial" w:eastAsia="Arial" w:hAnsi="Arial"/>
          <w:sz w:val="24"/>
          <w:szCs w:val="24"/>
        </w:rPr>
        <w:t xml:space="preserve">В 2015 году удельный вес расходов из республиканского бюджета на социальную сферу (58,6 млрд. сомов) составил 56,8% (удельный вес расходов из республиканского бюджета на социальную сферу в 2014 году составлял 57,8%), всего направлено на 5,2 млрд. сомов больше, чем в 2014 году. Социальные обязательства в рамках утвержденных параметров выполнены.</w:t>
      </w:r>
    </w:p>
    <w:p>
      <w:pPr>
        <w:spacing w:after="60"/>
        <w:ind w:firstLine="567"/>
        <w:jc w:val="both"/>
      </w:pPr>
      <w:r>
        <w:rPr>
          <w:rFonts w:ascii="Arial" w:cs="Arial" w:eastAsia="Arial" w:hAnsi="Arial"/>
          <w:sz w:val="24"/>
          <w:szCs w:val="24"/>
        </w:rPr>
        <w:t xml:space="preserve">Обеспечение положительной динамики экономического роста активно продвигалось в рамках Плана мероприятий Правительства Кыргызской Республики на 2015 год по укреплению национальной экономики (постановление Правительства Кыргызской Республики от 20 февраля 2015 года № 78), в котором предусмотрены мероприятия из 38 пунктов, направленные в основном на обеспечение устойчивого развития экономики и социальной стабильности в периоды наиболее сильного влияния внешних и внутренних неблагоприятных факторов, на что были направлены антикризисные мероприятия.</w:t>
      </w:r>
    </w:p>
    <w:p>
      <w:pPr>
        <w:spacing w:after="60"/>
        <w:ind w:firstLine="567"/>
        <w:jc w:val="both"/>
      </w:pPr>
      <w:r>
        <w:rPr>
          <w:rFonts w:ascii="Arial" w:cs="Arial" w:eastAsia="Arial" w:hAnsi="Arial"/>
          <w:sz w:val="24"/>
          <w:szCs w:val="24"/>
        </w:rPr>
        <w:t xml:space="preserve">В целях стимулирования сельскохозяйственного производства реализован проект "Финансирование сельского хозяйства-3" (постановление Правительства Кыргызской Республики от 11 марта 2015 года № 113), в рамках которого в 2015 году коммерческими банками выдано 9980 кредитов на сумму 3,8 млрд. сомов. На субсидирование процентных ставок коммерческих банков при предоставлении льготных кредитов фермерам из бюджета в 2015 году фактически перечислено 271,36 млн. сомов.</w:t>
      </w:r>
    </w:p>
    <w:p>
      <w:pPr>
        <w:spacing w:after="60"/>
        <w:ind w:firstLine="567"/>
        <w:jc w:val="both"/>
      </w:pPr>
      <w:r>
        <w:rPr>
          <w:rFonts w:ascii="Arial" w:cs="Arial" w:eastAsia="Arial" w:hAnsi="Arial"/>
          <w:sz w:val="24"/>
          <w:szCs w:val="24"/>
        </w:rPr>
        <w:t xml:space="preserve">Началась деятельность Российско-Кыргызского Фонда развития (далее - Фонд). В целях поддержки малого среднего бизнеса Фондом выделены средства в сумме 1,2 млрд. сомов двум банкам - открытым акционерным обществам "Айыл Банк" и "РСК Банк".</w:t>
      </w:r>
    </w:p>
    <w:p>
      <w:pPr>
        <w:spacing w:after="60"/>
        <w:ind w:firstLine="567"/>
        <w:jc w:val="both"/>
      </w:pPr>
      <w:r>
        <w:rPr>
          <w:rFonts w:ascii="Arial" w:cs="Arial" w:eastAsia="Arial" w:hAnsi="Arial"/>
          <w:sz w:val="24"/>
          <w:szCs w:val="24"/>
        </w:rPr>
        <w:t xml:space="preserve">Реализовывался План Правительства Кыргызской Республики по развитию экспорта Кыргызской Республики на 2015-2017 годы (постановление Правительства Кыргызской Республики от 31 марта 2015 года № 174). План выступает в качестве "дорожной карты" по расширению экспортного потенциала страны и содержит приоритетные секторы с высоким экспортным потенциалом.</w:t>
      </w:r>
    </w:p>
    <w:p>
      <w:pPr>
        <w:spacing w:after="60"/>
        <w:ind w:firstLine="567"/>
        <w:jc w:val="both"/>
      </w:pPr>
      <w:r>
        <w:rPr>
          <w:rFonts w:ascii="Arial" w:cs="Arial" w:eastAsia="Arial" w:hAnsi="Arial"/>
          <w:sz w:val="24"/>
          <w:szCs w:val="24"/>
        </w:rPr>
        <w:t xml:space="preserve">Для обеспечения благоприятных условий ведения бизнеса реализовывалась Программа Правительства Кыргызской Республики по развитию частного сектора в Кыргызской Республике на 2015-2017 годы (постановление Правительства Кыргызской Республики от 18 марта 2015 года № 129), в которой предусмотрено осуществление ряда реформ: в торговой и таможенной сферах; по оптимизации налогового администрирования; по реформированию трудового законодательства и антимонопольного законодательства.</w:t>
      </w:r>
    </w:p>
    <w:p>
      <w:pPr>
        <w:spacing w:after="60"/>
        <w:ind w:firstLine="567"/>
        <w:jc w:val="both"/>
      </w:pPr>
      <w:r>
        <w:rPr>
          <w:rFonts w:ascii="Arial" w:cs="Arial" w:eastAsia="Arial" w:hAnsi="Arial"/>
          <w:sz w:val="24"/>
          <w:szCs w:val="24"/>
        </w:rPr>
        <w:t xml:space="preserve">Продолжалась работа по созданию и поддержанию благоприятных условий развития предпринимательства. Сокращено количество разрешений и лицензий от 500 до 98. В два раза сокращены сроки проведения проверок с 30 до 15 рабочих дней, для субъектов малого бизнеса - до 5 рабочих дней, новые предприятия освобождены от неналоговых проверок на 3 года. Проделана работа в области усовершенствования программы "Контр-Про 3", которая позволяет собрать данные по всем видам проверок, проводимых контролирующими органами посредством выхода в интернет в режиме онлайн. Запущена реформа "Системный анализ регулирования".</w:t>
      </w:r>
    </w:p>
    <w:p>
      <w:pPr>
        <w:spacing w:after="60"/>
        <w:ind w:firstLine="567"/>
        <w:jc w:val="both"/>
      </w:pPr>
      <w:r>
        <w:rPr>
          <w:rFonts w:ascii="Arial" w:cs="Arial" w:eastAsia="Arial" w:hAnsi="Arial"/>
          <w:sz w:val="24"/>
          <w:szCs w:val="24"/>
        </w:rPr>
        <w:t xml:space="preserve">В целях сокращения масштабов теневой экономики принят План мероприятий по сокращению теневой экономики в Кыргызской Республике на период 2015-2017 годы (постановление Правительства Кыргызской Республики от 30 марта 2015 года № 170), меры которого направлены на устранение условий и причин возникновения теневой составляющей экономики, а также по ее легализации.</w:t>
      </w:r>
    </w:p>
    <w:p>
      <w:pPr>
        <w:spacing w:after="60"/>
        <w:ind w:firstLine="567"/>
        <w:jc w:val="both"/>
      </w:pPr>
      <w:r>
        <w:rPr>
          <w:rFonts w:ascii="Arial" w:cs="Arial" w:eastAsia="Arial" w:hAnsi="Arial"/>
          <w:sz w:val="24"/>
          <w:szCs w:val="24"/>
        </w:rPr>
        <w:t xml:space="preserve">Для повышения эффективности использования государственных активов приняты Программа приватизации государственной собственности в Кыргызской Республике на 2015-2017 годы (постановление Жогорку Кенеша Кыргызской Республики от 29 июня 2015 года № 5408-V), Концепция реформирования государственного имущества (распоряжение Правительства Кыргызской Республики от 5 июня 2015 года № 244-р).</w:t>
      </w:r>
    </w:p>
    <w:p>
      <w:pPr>
        <w:spacing w:after="60"/>
        <w:ind w:firstLine="567"/>
        <w:jc w:val="both"/>
      </w:pPr>
      <w:r>
        <w:rPr>
          <w:rFonts w:ascii="Arial" w:cs="Arial" w:eastAsia="Arial" w:hAnsi="Arial"/>
          <w:sz w:val="24"/>
          <w:szCs w:val="24"/>
        </w:rPr>
        <w:t xml:space="preserve">Запущены горно-обогатительный комплекс (ГОК) общества с ограниченной ответственностью "Алтын Кен" месторождения золота Талды-Булак-Левобережный (29 июля 2015 года), рудный комплекс общества с ограниченной ответственностью "Казахмыс Голд Кыргызстан" на золото-медном месторождении Бозымчак (1 августа 2015 года), Токмокский нефтеперерабатывающий завод мощностью 400 тыс. тонн в год (27 ноября 2015 года). Почти в 2 раза увеличены объемы нефтеперерабатывающего завода НПЗ "Джунда" по сравнению с 2014 годом.</w:t>
      </w:r>
    </w:p>
    <w:p>
      <w:pPr>
        <w:spacing w:after="60"/>
        <w:ind w:firstLine="567"/>
        <w:jc w:val="both"/>
      </w:pPr>
      <w:r>
        <w:rPr>
          <w:rFonts w:ascii="Arial" w:cs="Arial" w:eastAsia="Arial" w:hAnsi="Arial"/>
          <w:sz w:val="24"/>
          <w:szCs w:val="24"/>
        </w:rPr>
        <w:t xml:space="preserve">Главным событием года стало становление Кыргызской Республики полноправным членом Евразийского экономического союза.</w:t>
      </w:r>
    </w:p>
    <w:p>
      <w:pPr>
        <w:spacing w:after="60"/>
        <w:ind w:firstLine="567"/>
        <w:jc w:val="both"/>
      </w:pPr>
      <w:r>
        <w:rPr>
          <w:rFonts w:ascii="Arial" w:cs="Arial" w:eastAsia="Arial" w:hAnsi="Arial"/>
          <w:sz w:val="24"/>
          <w:szCs w:val="24"/>
        </w:rPr>
        <w:t xml:space="preserve">12 августа 2015 года, после завершения всех процедур (ратификация Договора государствами - членами ЕАЭС, открытие границ), в 2015 году был отменен таможенный, санитарный, карантинный, фитосанитарный контроль на кыргызско-казахстанском участке государственной границы, на территории республики вступили в силу единый таможенный тариф, единая товарная номенклатура внешнеэкономической деятельности ЕАЭС, единые требования к продукции, установленные техническими регламентами Союза, и другие нормы и положения Договора о ЕАЭС.</w:t>
      </w:r>
    </w:p>
    <w:p>
      <w:pPr>
        <w:spacing w:after="60"/>
        <w:ind w:firstLine="567"/>
        <w:jc w:val="both"/>
      </w:pPr>
      <w:r>
        <w:rPr>
          <w:rFonts w:ascii="Arial" w:cs="Arial" w:eastAsia="Arial" w:hAnsi="Arial"/>
          <w:sz w:val="24"/>
          <w:szCs w:val="24"/>
        </w:rPr>
        <w:t xml:space="preserve">21 августа 2015 года принято решение совета Евразийской экономической комиссии об отмене санитарного и фитосанитарного контроля на кыргызско-казахстанском участке государственной границы, которое вступило в силу 18 ноября 2015 года. Проведено оснащение первоочередных пунктов пропуска Кыргызской Республики "Манас", "Ош", "Торугарт", "Иркештам". Оснащены оборудованием 7 ветеринарно-контрольных пропускных постов. Вступили в силу 35 технических регламентов ЕАЭС.</w:t>
      </w:r>
    </w:p>
    <w:p>
      <w:pPr>
        <w:spacing w:after="60"/>
        <w:ind w:firstLine="567"/>
        <w:jc w:val="both"/>
      </w:pPr>
      <w:r>
        <w:rPr>
          <w:rFonts w:ascii="Arial" w:cs="Arial" w:eastAsia="Arial" w:hAnsi="Arial"/>
          <w:sz w:val="24"/>
          <w:szCs w:val="24"/>
        </w:rPr>
        <w:t xml:space="preserve">Для более плавного интегрирования в период сложных внешних условий для функционирования экономик государств-членов ЕАЭС разработан План мер по адаптации Кыргызской Республики к условиям Евразийского экономического союза и создан Штаб по адаптации и оперативному реагированию на риски, связанные с присоединением Кыргызской Республики к ЕАЭС.</w:t>
      </w:r>
    </w:p>
    <w:p>
      <w:pPr>
        <w:spacing w:after="60"/>
        <w:ind w:firstLine="567"/>
        <w:jc w:val="both"/>
      </w:pPr>
      <w:r>
        <w:rPr>
          <w:rFonts w:ascii="Arial" w:cs="Arial" w:eastAsia="Arial" w:hAnsi="Arial"/>
          <w:sz w:val="24"/>
          <w:szCs w:val="24"/>
        </w:rPr>
        <w:t xml:space="preserve">В результате создания базовых условий для поддержания макроэкономической устойчивости и предпринимаемых совместных действий Правительства и Национального банка достигнута положительная динамика экономического роста в 2014-2015 годах и в полном объеме выполнены запланированные социальные обязательства.</w:t>
      </w:r>
    </w:p>
    <w:p>
      <w:pPr>
        <w:spacing w:after="60"/>
        <w:ind w:firstLine="567"/>
        <w:jc w:val="both"/>
      </w:pPr>
      <w:r>
        <w:rPr>
          <w:rFonts w:ascii="Arial" w:cs="Arial" w:eastAsia="Arial" w:hAnsi="Arial"/>
          <w:sz w:val="24"/>
          <w:szCs w:val="24"/>
        </w:rPr>
        <w:t xml:space="preserve">В 2014-2015 годах обеспечена экономическая и политическая стабильность, однако экономика Кыргызской Республики остается уязвимой к воздействию внешних и внутренних потрясений.</w:t>
      </w:r>
    </w:p>
    <w:p>
      <w:pPr>
        <w:spacing w:after="200" w:before="200"/>
        <w:jc w:val="center"/>
      </w:pPr>
      <w:r>
        <w:rPr>
          <w:rFonts w:ascii="Arial" w:cs="Arial" w:eastAsia="Arial" w:hAnsi="Arial"/>
          <w:b/>
          <w:bCs/>
          <w:sz w:val="24"/>
          <w:szCs w:val="24"/>
        </w:rPr>
        <w:t xml:space="preserve">3. Факторы и условия социально-экономического развития в условиях функционирования Кыргызской Республики в ЕАЭС</w:t>
      </w:r>
    </w:p>
    <w:p>
      <w:pPr>
        <w:spacing w:after="60"/>
        <w:ind w:firstLine="567"/>
        <w:jc w:val="both"/>
      </w:pPr>
      <w:r>
        <w:rPr>
          <w:rFonts w:ascii="Arial" w:cs="Arial" w:eastAsia="Arial" w:hAnsi="Arial"/>
          <w:sz w:val="24"/>
          <w:szCs w:val="24"/>
        </w:rPr>
        <w:t xml:space="preserve">Экономика Кыргызской Республики является самой открытой экономикой региона и характеризуется высокой зависимостью от производства золота, денежных переводов работников-мигрантов, транзитной торговли и внешней помощи. Эта зависимость обусловливает уязвимость экономики перед лицом внешних и внутренних потрясений, где экономика Кыргызстана все еще остается недостаточно устойчивой.</w:t>
      </w:r>
    </w:p>
    <w:p>
      <w:pPr>
        <w:spacing w:after="60"/>
        <w:ind w:firstLine="567"/>
        <w:jc w:val="both"/>
      </w:pPr>
      <w:r>
        <w:rPr>
          <w:rFonts w:ascii="Arial" w:cs="Arial" w:eastAsia="Arial" w:hAnsi="Arial"/>
          <w:sz w:val="24"/>
          <w:szCs w:val="24"/>
        </w:rPr>
        <w:t xml:space="preserve">Ожидаемое развитие экономики в 2016 году и прогноз на среднесрочный период базируются на гипотезе сохранения внешних и внутренних факторов/рисков, которые будут оказывать влияние на развитие экономики страны, в том числе сохраняющейся геоэкономической ситуации в странах - основных торговых партнерах, динамике изменения внешнеэкономической деятельности, в условиях функционирования Кыргызской Республики в интеграционном объединении ЕАЭС, в частности:</w:t>
      </w:r>
    </w:p>
    <w:p>
      <w:pPr>
        <w:spacing w:after="60"/>
        <w:ind w:firstLine="567"/>
        <w:jc w:val="both"/>
      </w:pPr>
      <w:r>
        <w:rPr>
          <w:rFonts w:ascii="Arial" w:cs="Arial" w:eastAsia="Arial" w:hAnsi="Arial"/>
          <w:sz w:val="24"/>
          <w:szCs w:val="24"/>
        </w:rPr>
        <w:t xml:space="preserve">- неустойчивость развития мировой экономики. В мире происходят существенные изменения экономических процессов, влияющие на перераспределение факторов экономического развития между странами и континентами, возникновение новых центров экономического развития;</w:t>
      </w:r>
    </w:p>
    <w:p>
      <w:pPr>
        <w:spacing w:after="60"/>
        <w:ind w:firstLine="567"/>
        <w:jc w:val="both"/>
      </w:pPr>
      <w:r>
        <w:rPr>
          <w:rFonts w:ascii="Arial" w:cs="Arial" w:eastAsia="Arial" w:hAnsi="Arial"/>
          <w:sz w:val="24"/>
          <w:szCs w:val="24"/>
        </w:rPr>
        <w:t xml:space="preserve">- усиление глобальной конкуренции, сокращение товарных и географических рынков для эффективного позиционирования государств-членов в мировой экономике, неблагоприятная внешняя конъюнктура;</w:t>
      </w:r>
    </w:p>
    <w:p>
      <w:pPr>
        <w:spacing w:after="60"/>
        <w:ind w:firstLine="567"/>
        <w:jc w:val="both"/>
      </w:pPr>
      <w:r>
        <w:rPr>
          <w:rFonts w:ascii="Arial" w:cs="Arial" w:eastAsia="Arial" w:hAnsi="Arial"/>
          <w:sz w:val="24"/>
          <w:szCs w:val="24"/>
        </w:rPr>
        <w:t xml:space="preserve">- высокая значимость технологического развития как источника рисков и как фактора появления возможностей для развития экономик;</w:t>
      </w:r>
    </w:p>
    <w:p>
      <w:pPr>
        <w:spacing w:after="60"/>
        <w:ind w:firstLine="567"/>
        <w:jc w:val="both"/>
      </w:pPr>
      <w:r>
        <w:rPr>
          <w:rFonts w:ascii="Arial" w:cs="Arial" w:eastAsia="Arial" w:hAnsi="Arial"/>
          <w:sz w:val="24"/>
          <w:szCs w:val="24"/>
        </w:rPr>
        <w:t xml:space="preserve">- постепенное исчерпание существующих конкурентных преимуществ государств-членов ЕАЭС (прежде всего связанных с сырьевой ориентацией экономик) и необходимость формирования новых преимуществ;</w:t>
      </w:r>
    </w:p>
    <w:p>
      <w:pPr>
        <w:spacing w:after="60"/>
        <w:ind w:firstLine="567"/>
        <w:jc w:val="both"/>
      </w:pPr>
      <w:r>
        <w:rPr>
          <w:rFonts w:ascii="Arial" w:cs="Arial" w:eastAsia="Arial" w:hAnsi="Arial"/>
          <w:sz w:val="24"/>
          <w:szCs w:val="24"/>
        </w:rPr>
        <w:t xml:space="preserve">- сохранение тенденции снижения цены на сырую нефть, обусловленное низкой мировой производственной активностью, снижением спроса вследствие замедления роста доходов, ростом мирового предложения (в ОПЕК и за ее пределами, в том числе из-за решения ОПЕК сохранить уровень добычи и ожидаемого снятия санкций с Ирана). Немаловажным фактором являются ожидания, которые также имеют негативную направленность;</w:t>
      </w:r>
    </w:p>
    <w:p>
      <w:pPr>
        <w:spacing w:after="60"/>
        <w:ind w:firstLine="567"/>
        <w:jc w:val="both"/>
      </w:pPr>
      <w:r>
        <w:rPr>
          <w:rFonts w:ascii="Arial" w:cs="Arial" w:eastAsia="Arial" w:hAnsi="Arial"/>
          <w:sz w:val="24"/>
          <w:szCs w:val="24"/>
        </w:rPr>
        <w:t xml:space="preserve">- высокая волатильность важнейших товарных рынков (цен на золото, ртуть, медь, продукты), которая является следствием роста предложения большинства металлов и снижения спроса со стороны Китая, который являлся основным их потребителем с 2000 года. Цены на мировом рынке продуктов питания обычно более волатильны, так как предложение зависит от погодных условий. В 2015 году основной причиной является рекордный урожай;</w:t>
      </w:r>
    </w:p>
    <w:p>
      <w:pPr>
        <w:spacing w:after="60"/>
        <w:ind w:firstLine="567"/>
        <w:jc w:val="both"/>
      </w:pPr>
      <w:r>
        <w:rPr>
          <w:rFonts w:ascii="Arial" w:cs="Arial" w:eastAsia="Arial" w:hAnsi="Arial"/>
          <w:sz w:val="24"/>
          <w:szCs w:val="24"/>
        </w:rPr>
        <w:t xml:space="preserve">- продолжающаяся тенденция оттока капитала, которая приводит к ослаблению позиций национальных валют по отношению к доллару США;</w:t>
      </w:r>
    </w:p>
    <w:p>
      <w:pPr>
        <w:spacing w:after="60"/>
        <w:ind w:firstLine="567"/>
        <w:jc w:val="both"/>
      </w:pPr>
      <w:r>
        <w:rPr>
          <w:rFonts w:ascii="Arial" w:cs="Arial" w:eastAsia="Arial" w:hAnsi="Arial"/>
          <w:sz w:val="24"/>
          <w:szCs w:val="24"/>
        </w:rPr>
        <w:t xml:space="preserve">- снижение в долларовом эквиваленте чистого притока денежных переводов физических лиц, осуществленных через системы переводов;</w:t>
      </w:r>
    </w:p>
    <w:p>
      <w:pPr>
        <w:spacing w:after="60"/>
        <w:ind w:firstLine="567"/>
        <w:jc w:val="both"/>
      </w:pPr>
      <w:r>
        <w:rPr>
          <w:rFonts w:ascii="Arial" w:cs="Arial" w:eastAsia="Arial" w:hAnsi="Arial"/>
          <w:sz w:val="24"/>
          <w:szCs w:val="24"/>
        </w:rPr>
        <w:t xml:space="preserve">- сохранение введенных санкций (в отношении страны - торгового партнера Кыргызской Республики - Российской Федерации). Ввиду существенной роли экономики России в ЕАЭС расширение и пролонгация санкционного давления против России ведет к развитию вторичных негативных эффектов в государствах - членах ЕАЭС: сокращение взаимного экспорта вследствие сокращения внутреннего спроса России, сокращение денежных переводов трудовых мигрантов, снижение инвестиционной активности, финансовая нестабильность и усиление оттока капитала;</w:t>
      </w:r>
    </w:p>
    <w:p>
      <w:pPr>
        <w:spacing w:after="60"/>
        <w:ind w:firstLine="567"/>
        <w:jc w:val="both"/>
      </w:pPr>
      <w:r>
        <w:rPr>
          <w:rFonts w:ascii="Arial" w:cs="Arial" w:eastAsia="Arial" w:hAnsi="Arial"/>
          <w:sz w:val="24"/>
          <w:szCs w:val="24"/>
        </w:rPr>
        <w:t xml:space="preserve">- обвал фондового рынка Китая - падение котировок ценных бумаг на фондовых биржах в 2016 году (справочно: 4 января 2016 года был понижен курс национальной валюты по отношению к доллару. Впервые за 4,5 года соотношение валют оказалось слабее чем 6,5 юаня за доллар. 25 февраля 2016 года фондовые индексы в Китае снизились более чем на 6%. 29 февраля 2016 года произошёл новый обвал фондового рынка Китая. В начале марта 2016 года Международное рейтинговое агентство "Moody’s" приняло решение о понижении прогноза по кредитному рейтингу Китая со "стабильного" до "негативного");</w:t>
      </w:r>
    </w:p>
    <w:p>
      <w:pPr>
        <w:spacing w:after="60"/>
        <w:ind w:firstLine="567"/>
        <w:jc w:val="both"/>
      </w:pPr>
      <w:r>
        <w:rPr>
          <w:rFonts w:ascii="Arial" w:cs="Arial" w:eastAsia="Arial" w:hAnsi="Arial"/>
          <w:sz w:val="24"/>
          <w:szCs w:val="24"/>
        </w:rPr>
        <w:t xml:space="preserve">- возможность возникновения неблагоприятных природно-климатических условий.</w:t>
      </w:r>
    </w:p>
    <w:p>
      <w:pPr>
        <w:spacing w:after="60"/>
        <w:ind w:firstLine="567"/>
        <w:jc w:val="both"/>
      </w:pPr>
      <w:r>
        <w:rPr>
          <w:rFonts w:ascii="Arial" w:cs="Arial" w:eastAsia="Arial" w:hAnsi="Arial"/>
          <w:sz w:val="24"/>
          <w:szCs w:val="24"/>
        </w:rPr>
        <w:t xml:space="preserve">Следует учесть тот фактор, что в регионе продолжает преобладать геополитическая напряженность. Эскалация конфликта в восточной части Украины или неспособность его урегулировать может причинить ущерб и привести к продлению или ужесточению санкций против России, что будет иметь вторичные эффекты для всего региона. Обострение конфликта в Сирии может привести к увеличению потока беженцев, что будет иметь последствия для Турции, Балкан и западных частей региона. Кроме того, во многих странах рост будут тормозить низкие цены на сырьевые товары и слабый приток денежных переводов от рабочих-мигрантов.</w:t>
      </w:r>
    </w:p>
    <w:p>
      <w:pPr>
        <w:spacing w:after="60"/>
        <w:ind w:firstLine="567"/>
        <w:jc w:val="both"/>
      </w:pPr>
      <w:r>
        <w:rPr>
          <w:rFonts w:ascii="Arial" w:cs="Arial" w:eastAsia="Arial" w:hAnsi="Arial"/>
          <w:sz w:val="24"/>
          <w:szCs w:val="24"/>
        </w:rPr>
        <w:t xml:space="preserve">В купе перечисленные факторы негативного влияния на экономики государств-членов ЕАЭС, а также риски распространения кризисных явлений могут поставить под угрозу устойчивое экономическое развитие государств-членов.</w:t>
      </w:r>
    </w:p>
    <w:p>
      <w:pPr>
        <w:spacing w:after="60"/>
        <w:ind w:firstLine="567"/>
        <w:jc w:val="both"/>
      </w:pPr>
      <w:r>
        <w:rPr>
          <w:rFonts w:ascii="Arial" w:cs="Arial" w:eastAsia="Arial" w:hAnsi="Arial"/>
          <w:sz w:val="24"/>
          <w:szCs w:val="24"/>
        </w:rPr>
        <w:t xml:space="preserve">На фоне таких условий в мировой экономике сохраняется тенденция замедления экономического роста. На 2016 год рост мирового ВВП пересмотрен с 3,3% до 2,9%(2), еврозоны - с 1,8% до 1,7%. Экономический рост в России тоже был пересмотрен в сторону снижения с 2,3% до 0,7%,(3) Казахстане - с 2,1% до 0,5%(4).</w:t>
      </w:r>
    </w:p>
    <w:p>
      <w:pPr>
        <w:spacing w:after="60"/>
        <w:ind w:firstLine="567"/>
        <w:jc w:val="both"/>
      </w:pPr>
      <w:r>
        <w:rPr>
          <w:rFonts w:ascii="Arial" w:cs="Arial" w:eastAsia="Arial" w:hAnsi="Arial"/>
          <w:sz w:val="24"/>
          <w:szCs w:val="24"/>
        </w:rPr>
        <w:t xml:space="preserve">По оценке международных институтов, экономический рост в странах - основных торговых партнерах Кыргызской Республики тоже пересмотрен в сторону снижения (пересмотр январь 2016 года)(5) в России на 1,4 п.п. (с 100,7% до 99,3%), Казахстане - на 1,8 п.п. (с 102,9% до 101,1%), Армении - на 0,5 п.п. (с 102,7% до 102,2%), Китае - на 0,3 п.п. (107,0% до 106,7%).</w:t>
      </w:r>
    </w:p>
    <w:p>
      <w:pPr>
        <w:spacing w:after="120" w:before="200"/>
        <w:ind w:firstLine="567"/>
        <w:jc w:val="left"/>
      </w:pPr>
      <w:r>
        <w:rPr>
          <w:rFonts w:ascii="Arial" w:cs="Arial" w:eastAsia="Arial" w:hAnsi="Arial"/>
          <w:b/>
          <w:bCs/>
          <w:sz w:val="24"/>
          <w:szCs w:val="24"/>
        </w:rPr>
        <w:t xml:space="preserve">Таблица 6. Темпы роста мировой экономики и стран - членов ЕАЭС, в %(6)</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769"/>
        <w:gridCol w:w="1120"/>
        <w:gridCol w:w="1588"/>
        <w:gridCol w:w="1588"/>
        <w:gridCol w:w="1331"/>
        <w:gridCol w:w="1331"/>
        <w:gridCol w:w="1451"/>
      </w:tblGrid>
      <w:tr>
        <w:tc>
          <w:tcPr>
            <w:tcW w:type="dxa" w:w="1769"/>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Страны</w:t>
            </w:r>
          </w:p>
        </w:tc>
        <w:tc>
          <w:tcPr>
            <w:tcW w:type="dxa" w:w="112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 предв. факт</w:t>
            </w:r>
          </w:p>
        </w:tc>
        <w:tc>
          <w:tcPr>
            <w:tcW w:type="dxa" w:w="317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 прогноз</w:t>
            </w:r>
          </w:p>
        </w:tc>
        <w:tc>
          <w:tcPr>
            <w:tcW w:type="dxa" w:w="133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 прогноз</w:t>
            </w:r>
          </w:p>
        </w:tc>
        <w:tc>
          <w:tcPr>
            <w:tcW w:type="dxa" w:w="133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 прогноз</w:t>
            </w:r>
          </w:p>
        </w:tc>
        <w:tc>
          <w:tcPr>
            <w:tcW w:type="dxa" w:w="145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 прогноз(7)</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5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 в июне 2015 г.</w:t>
            </w:r>
          </w:p>
        </w:tc>
        <w:tc>
          <w:tcPr>
            <w:tcW w:type="dxa" w:w="15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 в январе 2016 г.</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17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Мировая экономика</w:t>
            </w:r>
          </w:p>
        </w:tc>
        <w:tc>
          <w:tcPr>
            <w:tcW w:type="dxa" w:w="11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1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1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13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13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14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r>
      <w:tr>
        <w:tc>
          <w:tcPr>
            <w:tcW w:type="dxa" w:w="17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Еврозона</w:t>
            </w:r>
          </w:p>
        </w:tc>
        <w:tc>
          <w:tcPr>
            <w:tcW w:type="dxa" w:w="11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1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1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c>
          <w:tcPr>
            <w:tcW w:type="dxa" w:w="13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c>
          <w:tcPr>
            <w:tcW w:type="dxa" w:w="13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14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r>
      <w:tr>
        <w:tc>
          <w:tcPr>
            <w:tcW w:type="dxa" w:w="17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Китай</w:t>
            </w:r>
          </w:p>
        </w:tc>
        <w:tc>
          <w:tcPr>
            <w:tcW w:type="dxa" w:w="11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106,9</w:t>
            </w:r>
          </w:p>
        </w:tc>
        <w:tc>
          <w:tcPr>
            <w:tcW w:type="dxa" w:w="1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w:t>
            </w:r>
          </w:p>
        </w:tc>
        <w:tc>
          <w:tcPr>
            <w:tcW w:type="dxa" w:w="1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106,5-107,0</w:t>
            </w:r>
          </w:p>
        </w:tc>
        <w:tc>
          <w:tcPr>
            <w:tcW w:type="dxa" w:w="13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13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14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106,3</w:t>
            </w:r>
          </w:p>
        </w:tc>
      </w:tr>
      <w:tr>
        <w:tc>
          <w:tcPr>
            <w:tcW w:type="dxa" w:w="17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Россия</w:t>
            </w:r>
          </w:p>
        </w:tc>
        <w:tc>
          <w:tcPr>
            <w:tcW w:type="dxa" w:w="11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96,3</w:t>
            </w:r>
          </w:p>
        </w:tc>
        <w:tc>
          <w:tcPr>
            <w:tcW w:type="dxa" w:w="1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100,7(8)</w:t>
            </w:r>
          </w:p>
        </w:tc>
        <w:tc>
          <w:tcPr>
            <w:tcW w:type="dxa" w:w="1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99,3</w:t>
            </w:r>
          </w:p>
        </w:tc>
        <w:tc>
          <w:tcPr>
            <w:tcW w:type="dxa" w:w="13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13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14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r>
      <w:tr>
        <w:tc>
          <w:tcPr>
            <w:tcW w:type="dxa" w:w="17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Казахстан</w:t>
            </w:r>
          </w:p>
        </w:tc>
        <w:tc>
          <w:tcPr>
            <w:tcW w:type="dxa" w:w="11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1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102,1(9)</w:t>
            </w:r>
          </w:p>
        </w:tc>
        <w:tc>
          <w:tcPr>
            <w:tcW w:type="dxa" w:w="1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100,5(10)</w:t>
            </w:r>
          </w:p>
        </w:tc>
        <w:tc>
          <w:tcPr>
            <w:tcW w:type="dxa" w:w="13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13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14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r>
      <w:tr>
        <w:tc>
          <w:tcPr>
            <w:tcW w:type="dxa" w:w="17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Белоруссия</w:t>
            </w:r>
          </w:p>
        </w:tc>
        <w:tc>
          <w:tcPr>
            <w:tcW w:type="dxa" w:w="11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96,1</w:t>
            </w:r>
          </w:p>
        </w:tc>
        <w:tc>
          <w:tcPr>
            <w:tcW w:type="dxa" w:w="1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99,0</w:t>
            </w:r>
          </w:p>
        </w:tc>
        <w:tc>
          <w:tcPr>
            <w:tcW w:type="dxa" w:w="1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99,5</w:t>
            </w:r>
          </w:p>
        </w:tc>
        <w:tc>
          <w:tcPr>
            <w:tcW w:type="dxa" w:w="13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13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14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r>
      <w:tr>
        <w:tc>
          <w:tcPr>
            <w:tcW w:type="dxa" w:w="17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Армения</w:t>
            </w:r>
          </w:p>
        </w:tc>
        <w:tc>
          <w:tcPr>
            <w:tcW w:type="dxa" w:w="11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1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15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13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c>
          <w:tcPr>
            <w:tcW w:type="dxa" w:w="13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14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r>
    </w:tbl>
    <w:p>
      <w:pPr>
        <w:spacing w:after="60" w:before="120"/>
        <w:ind w:firstLine="567"/>
        <w:jc w:val="both"/>
      </w:pPr>
      <w:r>
        <w:rPr>
          <w:rFonts w:ascii="Arial" w:cs="Arial" w:eastAsia="Arial" w:hAnsi="Arial"/>
          <w:sz w:val="24"/>
          <w:szCs w:val="24"/>
        </w:rPr>
        <w:t xml:space="preserve">Мировой рост, который, по предварительным оценкам, в 2015 году сложился на уровне 3,1%, на среднесрочный период прогнозируется в среднем на уровне 3,4%. Оживление мировой активности будет происходить более постепенными темпами, особенно в странах с формирующимся рынком и развивающихся странах.</w:t>
      </w:r>
    </w:p>
    <w:p>
      <w:pPr>
        <w:spacing w:after="60"/>
        <w:ind w:firstLine="567"/>
        <w:jc w:val="both"/>
      </w:pPr>
      <w:r>
        <w:rPr>
          <w:rFonts w:ascii="Arial" w:cs="Arial" w:eastAsia="Arial" w:hAnsi="Arial"/>
          <w:sz w:val="24"/>
          <w:szCs w:val="24"/>
        </w:rPr>
        <w:t xml:space="preserve">Экономики стран Европы будут расти в целом стабильными темпами, с некоторым замедлением в 2018-2019 годы.</w:t>
      </w:r>
    </w:p>
    <w:p>
      <w:pPr>
        <w:spacing w:after="60"/>
        <w:ind w:firstLine="567"/>
        <w:jc w:val="both"/>
      </w:pPr>
      <w:r>
        <w:rPr>
          <w:rFonts w:ascii="Arial" w:cs="Arial" w:eastAsia="Arial" w:hAnsi="Arial"/>
          <w:sz w:val="24"/>
          <w:szCs w:val="24"/>
        </w:rPr>
        <w:t xml:space="preserve">В Китае по итогам 2015 года темпы роста ВВП замедлились до 6,9%, что стало худшим показателем за последние 25 лет, в 2016 году ожидается замедление роста до 6,5-7,0% и сохранение понижательной тенденции в среднесрочном периоде. В средне- и долгосрочном периоде успешная реализация намеченных структурных реформ (переориентация на внутреннее потребление, повышение эффективности государственного инвестирования, повышение гибкости рынка труда и производительности труда) на фоне снижения цен на биржевые товары приведет к расширению внутреннего потребления, что будет частично компенсировать замедление роста. Однако в среднесрочном периоде замедление роста Китая означает снижение спроса на мировых товарно-сырьевых рынках. В первую очередь это касается энергетических ресурсов и металлов, что критично для экспорта ЕАЭС.</w:t>
      </w:r>
    </w:p>
    <w:p>
      <w:pPr>
        <w:spacing w:after="60"/>
        <w:ind w:firstLine="567"/>
        <w:jc w:val="both"/>
      </w:pPr>
      <w:r>
        <w:rPr>
          <w:rFonts w:ascii="Arial" w:cs="Arial" w:eastAsia="Arial" w:hAnsi="Arial"/>
          <w:sz w:val="24"/>
          <w:szCs w:val="24"/>
        </w:rPr>
        <w:t xml:space="preserve">Ожидается, что в странах с развитой экономикой будет продолжаться небольшой и неровный восстановительный рост с постепенным дальнейшим сокращением разрыва между фактическим и потенциальным объемом производства. Замедление роста и перебалансировка экономики Китая, снижение цен на биржевые товары и напряженность в некоторых крупных странах с формирующимся рынком будет продолжать негативно сказываться на перспективах роста в 2016-2017 годах.</w:t>
      </w:r>
    </w:p>
    <w:p>
      <w:pPr>
        <w:spacing w:after="60"/>
        <w:ind w:firstLine="567"/>
        <w:jc w:val="both"/>
      </w:pPr>
      <w:r>
        <w:rPr>
          <w:rFonts w:ascii="Arial" w:cs="Arial" w:eastAsia="Arial" w:hAnsi="Arial"/>
          <w:sz w:val="24"/>
          <w:szCs w:val="24"/>
        </w:rPr>
        <w:t xml:space="preserve">Российская экономика начинает плавно выходить из кризиса, однако до полной нормализации ситуации еще далеко, потому что рубль не отличается своей устойчивостью, стоимость нефти находится далеко не на самом высоком уровне, а западные санкции не позволяют улучшить экономическую ситуацию.</w:t>
      </w:r>
    </w:p>
    <w:p>
      <w:pPr>
        <w:spacing w:after="60"/>
        <w:ind w:firstLine="567"/>
        <w:jc w:val="both"/>
      </w:pPr>
      <w:r>
        <w:rPr>
          <w:rFonts w:ascii="Arial" w:cs="Arial" w:eastAsia="Arial" w:hAnsi="Arial"/>
          <w:sz w:val="24"/>
          <w:szCs w:val="24"/>
        </w:rPr>
        <w:t xml:space="preserve">Взаимное влияние экономик - важный фактор, который всегда учитывается при планировании долгосрочного экономического развития, реализации кратко- и среднесрочных мер экономической политики. Участие в интеграционном объединении усиливает не только положительные взаимные эффекты на траектории роста, но и отрицательные - на траектории спада. Однако в свою очередь дает инструменты координации, которые позволяют сглаживать негативное влияние.</w:t>
      </w:r>
    </w:p>
    <w:p>
      <w:pPr>
        <w:spacing w:after="60"/>
        <w:ind w:firstLine="567"/>
        <w:jc w:val="both"/>
      </w:pPr>
      <w:r>
        <w:rPr>
          <w:rFonts w:ascii="Arial" w:cs="Arial" w:eastAsia="Arial" w:hAnsi="Arial"/>
          <w:sz w:val="24"/>
          <w:szCs w:val="24"/>
        </w:rPr>
        <w:t xml:space="preserve">В случае ЕАЭС, в силу масштаба, ключевую роль внутри интеграционного объединения играет экономика России, поэтому как позитивные, так и негативные внутренние шоки России значительно влияют на экономику партнеров ЕАЭС. Если для государств-членов со структурой экономики, близкой к российской, - это в первую очередь результат симметричных шоков, то для Кыргызской Республики - это результат вторичных эффектов и переноса влияния из России. Россия является не только наибольшим потребительским рынком, но и источником финансовых потоков: инвестиций и трансфертов в виде денежных переводов мигрантов.</w:t>
      </w:r>
    </w:p>
    <w:p>
      <w:pPr>
        <w:spacing w:after="60"/>
        <w:ind w:firstLine="567"/>
        <w:jc w:val="both"/>
      </w:pPr>
      <w:r>
        <w:rPr>
          <w:rFonts w:ascii="Arial" w:cs="Arial" w:eastAsia="Arial" w:hAnsi="Arial"/>
          <w:sz w:val="24"/>
          <w:szCs w:val="24"/>
        </w:rPr>
        <w:t xml:space="preserve">Взаимодействие между государствами-членами ЕАЭС сильно, и продолжающиеся неблагоприятные условия для развития экономик (снижение цен на энергоносители, покупательной способности, продолжение волатильности на валютном рынке и т.д.) будут оказывать влияние на макроэкономические показатели 2016 года и среднесрочного периода Кыргызской Республики.</w:t>
      </w:r>
    </w:p>
    <w:p>
      <w:pPr>
        <w:spacing w:after="60"/>
        <w:ind w:firstLine="567"/>
        <w:jc w:val="both"/>
      </w:pPr>
      <w:r>
        <w:rPr>
          <w:rFonts w:ascii="Arial" w:cs="Arial" w:eastAsia="Arial" w:hAnsi="Arial"/>
          <w:sz w:val="24"/>
          <w:szCs w:val="24"/>
        </w:rPr>
        <w:t xml:space="preserve">Благоприятные факторы:</w:t>
      </w:r>
    </w:p>
    <w:p>
      <w:pPr>
        <w:spacing w:after="60"/>
        <w:ind w:firstLine="567"/>
        <w:jc w:val="both"/>
      </w:pPr>
      <w:r>
        <w:rPr>
          <w:rFonts w:ascii="Arial" w:cs="Arial" w:eastAsia="Arial" w:hAnsi="Arial"/>
          <w:sz w:val="24"/>
          <w:szCs w:val="24"/>
        </w:rPr>
        <w:t xml:space="preserve">- полная интеграция Кыргызстана в ЕАЭС и сохранение либеральной внешнеторговой политики (пик влияния 2016-2017 годы);</w:t>
      </w:r>
    </w:p>
    <w:p>
      <w:pPr>
        <w:spacing w:after="60"/>
        <w:ind w:firstLine="567"/>
        <w:jc w:val="both"/>
      </w:pPr>
      <w:r>
        <w:rPr>
          <w:rFonts w:ascii="Arial" w:cs="Arial" w:eastAsia="Arial" w:hAnsi="Arial"/>
          <w:sz w:val="24"/>
          <w:szCs w:val="24"/>
        </w:rPr>
        <w:t xml:space="preserve">- членство в ЕАЭС как фактор обеспечения дополнительной устойчивости и развития экономики благодаря интеграционным мерам и действиям;</w:t>
      </w:r>
    </w:p>
    <w:p>
      <w:pPr>
        <w:spacing w:after="60"/>
        <w:ind w:firstLine="567"/>
        <w:jc w:val="both"/>
      </w:pPr>
      <w:r>
        <w:rPr>
          <w:rFonts w:ascii="Arial" w:cs="Arial" w:eastAsia="Arial" w:hAnsi="Arial"/>
          <w:sz w:val="24"/>
          <w:szCs w:val="24"/>
        </w:rPr>
        <w:t xml:space="preserve">- повышение привлекательности бизнес-среды и рост деловой активности хозяйствующих субъектов на фоне улучшения инвестиционного климата (реализация Программы Правительства Кыргызской Республики по развитию частного сектора в Кыргызской Республике на 2015-2017 годы (постановление Правительства Кыргызской Республики от 18 марта 2015 года № 129);</w:t>
      </w:r>
    </w:p>
    <w:p>
      <w:pPr>
        <w:spacing w:after="60"/>
        <w:ind w:firstLine="567"/>
        <w:jc w:val="both"/>
      </w:pPr>
      <w:r>
        <w:rPr>
          <w:rFonts w:ascii="Arial" w:cs="Arial" w:eastAsia="Arial" w:hAnsi="Arial"/>
          <w:sz w:val="24"/>
          <w:szCs w:val="24"/>
        </w:rPr>
        <w:t xml:space="preserve">- повышение конкурентоспособности продукции отечественных производителей на рынках стран - членов ЕАЭС;</w:t>
      </w:r>
    </w:p>
    <w:p>
      <w:pPr>
        <w:spacing w:after="60"/>
        <w:ind w:firstLine="567"/>
        <w:jc w:val="both"/>
      </w:pPr>
      <w:r>
        <w:rPr>
          <w:rFonts w:ascii="Arial" w:cs="Arial" w:eastAsia="Arial" w:hAnsi="Arial"/>
          <w:sz w:val="24"/>
          <w:szCs w:val="24"/>
        </w:rPr>
        <w:t xml:space="preserve">- рост объемов инвестиций, для инвесторов открывается рынок без пошлин и барьеров;</w:t>
      </w:r>
    </w:p>
    <w:p>
      <w:pPr>
        <w:spacing w:after="60"/>
        <w:ind w:firstLine="567"/>
        <w:jc w:val="both"/>
      </w:pPr>
      <w:r>
        <w:rPr>
          <w:rFonts w:ascii="Arial" w:cs="Arial" w:eastAsia="Arial" w:hAnsi="Arial"/>
          <w:sz w:val="24"/>
          <w:szCs w:val="24"/>
        </w:rPr>
        <w:t xml:space="preserve">- развитие экспортных операций и приоритетных секторов с высоким экспортным потенциалом на основе реализации Плана Правительства Кыргызской Республики по развитию экспорта Кыргызской Республики на 2015-2017 годы (постановление Правительства Кыргызской Республики от 31 марта 2015 года № 174);</w:t>
      </w:r>
    </w:p>
    <w:p>
      <w:pPr>
        <w:spacing w:after="60"/>
        <w:ind w:firstLine="567"/>
        <w:jc w:val="both"/>
      </w:pPr>
      <w:r>
        <w:rPr>
          <w:rFonts w:ascii="Arial" w:cs="Arial" w:eastAsia="Arial" w:hAnsi="Arial"/>
          <w:sz w:val="24"/>
          <w:szCs w:val="24"/>
        </w:rPr>
        <w:t xml:space="preserve">- развитие приграничной торговли, сдерживаемой ранее наличием таможенного контроля, которая будет способствовать созданию новых рабочих мест, увеличению денежных доходов населения, улучшению транспортной, жилищной, социальной инфраструктуры на местах;</w:t>
      </w:r>
    </w:p>
    <w:p>
      <w:pPr>
        <w:spacing w:after="60"/>
        <w:ind w:firstLine="567"/>
        <w:jc w:val="both"/>
      </w:pPr>
      <w:r>
        <w:rPr>
          <w:rFonts w:ascii="Arial" w:cs="Arial" w:eastAsia="Arial" w:hAnsi="Arial"/>
          <w:sz w:val="24"/>
          <w:szCs w:val="24"/>
        </w:rPr>
        <w:t xml:space="preserve">- приведение правил таможенного администрирования в соответствие с нормами Таможенного кодекса ЕАЭС, с применением таможенного оформления по стоимости товаров, а не по его весу, может дать существенное повышение поступлений;</w:t>
      </w:r>
    </w:p>
    <w:p>
      <w:pPr>
        <w:spacing w:after="60"/>
        <w:ind w:firstLine="567"/>
        <w:jc w:val="both"/>
      </w:pPr>
      <w:r>
        <w:rPr>
          <w:rFonts w:ascii="Arial" w:cs="Arial" w:eastAsia="Arial" w:hAnsi="Arial"/>
          <w:sz w:val="24"/>
          <w:szCs w:val="24"/>
        </w:rPr>
        <w:t xml:space="preserve">- свободное передвижение труда и капитала.</w:t>
      </w:r>
    </w:p>
    <w:p>
      <w:pPr>
        <w:spacing w:after="60"/>
        <w:ind w:firstLine="567"/>
        <w:jc w:val="both"/>
      </w:pPr>
      <w:r>
        <w:rPr>
          <w:rFonts w:ascii="Arial" w:cs="Arial" w:eastAsia="Arial" w:hAnsi="Arial"/>
          <w:sz w:val="24"/>
          <w:szCs w:val="24"/>
        </w:rPr>
        <w:t xml:space="preserve">Основные риски:</w:t>
      </w:r>
    </w:p>
    <w:p>
      <w:pPr>
        <w:spacing w:after="60"/>
        <w:ind w:firstLine="567"/>
        <w:jc w:val="both"/>
      </w:pPr>
      <w:r>
        <w:rPr>
          <w:rFonts w:ascii="Arial" w:cs="Arial" w:eastAsia="Arial" w:hAnsi="Arial"/>
          <w:sz w:val="24"/>
          <w:szCs w:val="24"/>
        </w:rPr>
        <w:t xml:space="preserve">- медленная адаптация кыргызской экономики к изменениям условий внешней торговли в связи с вступлением Кыргызстана в ЕАЭС;</w:t>
      </w:r>
    </w:p>
    <w:p>
      <w:pPr>
        <w:spacing w:after="60"/>
        <w:ind w:firstLine="567"/>
        <w:jc w:val="both"/>
      </w:pPr>
      <w:r>
        <w:rPr>
          <w:rFonts w:ascii="Arial" w:cs="Arial" w:eastAsia="Arial" w:hAnsi="Arial"/>
          <w:sz w:val="24"/>
          <w:szCs w:val="24"/>
        </w:rPr>
        <w:t xml:space="preserve">- сужение потребительского спроса за счет снижения темпов экономического роста в странах - основных торговых партнерах из-за сложившейся геоэкономической ситуации;</w:t>
      </w:r>
    </w:p>
    <w:p>
      <w:pPr>
        <w:spacing w:after="60"/>
        <w:ind w:firstLine="567"/>
        <w:jc w:val="both"/>
      </w:pPr>
      <w:r>
        <w:rPr>
          <w:rFonts w:ascii="Arial" w:cs="Arial" w:eastAsia="Arial" w:hAnsi="Arial"/>
          <w:sz w:val="24"/>
          <w:szCs w:val="24"/>
        </w:rPr>
        <w:t xml:space="preserve">- образовавшийся высокий уровень государственного долга (по итогам 2015 года соотношение государственного долга к ВВП составило 68,2%), который может ограничивать возможности фискального стимулирования, соответственно, бюджетный дефицит будет угрожать дальнейшему росту государственного долга;</w:t>
      </w:r>
    </w:p>
    <w:p>
      <w:pPr>
        <w:spacing w:after="60"/>
        <w:ind w:firstLine="567"/>
        <w:jc w:val="both"/>
      </w:pPr>
      <w:r>
        <w:rPr>
          <w:rFonts w:ascii="Arial" w:cs="Arial" w:eastAsia="Arial" w:hAnsi="Arial"/>
          <w:sz w:val="24"/>
          <w:szCs w:val="24"/>
        </w:rPr>
        <w:t xml:space="preserve">- рост издержек производства и сокращение конкурентоспособности для секторов экономики с высоким удельным весом импортируемых материалов из-за повышения пошлин, слабой инфраструктуры, качества продукции и выполнения новых требований технических регламентов ЕАЭС;</w:t>
      </w:r>
    </w:p>
    <w:p>
      <w:pPr>
        <w:spacing w:after="60"/>
        <w:ind w:firstLine="567"/>
        <w:jc w:val="both"/>
      </w:pPr>
      <w:r>
        <w:rPr>
          <w:rFonts w:ascii="Arial" w:cs="Arial" w:eastAsia="Arial" w:hAnsi="Arial"/>
          <w:sz w:val="24"/>
          <w:szCs w:val="24"/>
        </w:rPr>
        <w:t xml:space="preserve">- сокращение денежных переводов, что в свою очередь приведет к снижению объемов валовой продукции строительства, услуг;</w:t>
      </w:r>
    </w:p>
    <w:p>
      <w:pPr>
        <w:spacing w:after="60"/>
        <w:ind w:firstLine="567"/>
        <w:jc w:val="both"/>
      </w:pPr>
      <w:r>
        <w:rPr>
          <w:rFonts w:ascii="Arial" w:cs="Arial" w:eastAsia="Arial" w:hAnsi="Arial"/>
          <w:sz w:val="24"/>
          <w:szCs w:val="24"/>
        </w:rPr>
        <w:t xml:space="preserve">- снижение объемов торговли за счет изменения условий (принятие единого таможенного тарифа (без изъятий), отмена упрощенного режима таможенного оформления, принятие технических регламентов ЕАЭС, более строгих правил подтверждения соответствия;</w:t>
      </w:r>
    </w:p>
    <w:p>
      <w:pPr>
        <w:spacing w:after="60"/>
        <w:ind w:firstLine="567"/>
        <w:jc w:val="both"/>
      </w:pPr>
      <w:r>
        <w:rPr>
          <w:rFonts w:ascii="Arial" w:cs="Arial" w:eastAsia="Arial" w:hAnsi="Arial"/>
          <w:sz w:val="24"/>
          <w:szCs w:val="24"/>
        </w:rPr>
        <w:t xml:space="preserve">- сохранение или медленное преодоление барьеров в приграничной и внешней торговле; рост конкуренции на внутреннем рынке со стороны иностранных производителей;</w:t>
      </w:r>
    </w:p>
    <w:p>
      <w:pPr>
        <w:spacing w:after="60"/>
        <w:ind w:firstLine="567"/>
        <w:jc w:val="both"/>
      </w:pPr>
      <w:r>
        <w:rPr>
          <w:rFonts w:ascii="Arial" w:cs="Arial" w:eastAsia="Arial" w:hAnsi="Arial"/>
          <w:sz w:val="24"/>
          <w:szCs w:val="24"/>
        </w:rPr>
        <w:t xml:space="preserve">- рост издержек для экспортеров, а в ряде случаев - невозможность осуществления экспорта из-за того, что принятая в ЕАЭС система технического регулирования предъявляет более жесткие требования к производителям и продукции (затяжной процесс проведения модернизации испытательных лабораторий, приведение в соответствие с требованиями законодательства ЕАЭС в области санитарно-карантинного, ветеринарного и фитосанитарного контроля в пунктах пропуска и осуществление других мер по улучшению системы технического регулирования);</w:t>
      </w:r>
    </w:p>
    <w:p>
      <w:pPr>
        <w:spacing w:after="60"/>
        <w:ind w:firstLine="567"/>
        <w:jc w:val="both"/>
      </w:pPr>
      <w:r>
        <w:rPr>
          <w:rFonts w:ascii="Arial" w:cs="Arial" w:eastAsia="Arial" w:hAnsi="Arial"/>
          <w:sz w:val="24"/>
          <w:szCs w:val="24"/>
        </w:rPr>
        <w:t xml:space="preserve">- прекращение поставок некоторых товаров в Кыргызстан из-за роста таможенных пошлин, снижение товарооборота со странами, не входящими в ЕАЭС;</w:t>
      </w:r>
    </w:p>
    <w:p>
      <w:pPr>
        <w:spacing w:after="60"/>
        <w:ind w:firstLine="567"/>
        <w:jc w:val="both"/>
      </w:pPr>
      <w:r>
        <w:rPr>
          <w:rFonts w:ascii="Arial" w:cs="Arial" w:eastAsia="Arial" w:hAnsi="Arial"/>
          <w:sz w:val="24"/>
          <w:szCs w:val="24"/>
        </w:rPr>
        <w:t xml:space="preserve">- отток некоторых сельскохозяйственных продуктов кыргызского производства в страны-члены ЕАЭС, и, соответственно, повышение уровня цен на эти продукты;</w:t>
      </w:r>
    </w:p>
    <w:p>
      <w:pPr>
        <w:spacing w:after="60"/>
        <w:ind w:firstLine="567"/>
        <w:jc w:val="both"/>
      </w:pPr>
      <w:r>
        <w:rPr>
          <w:rFonts w:ascii="Arial" w:cs="Arial" w:eastAsia="Arial" w:hAnsi="Arial"/>
          <w:sz w:val="24"/>
          <w:szCs w:val="24"/>
        </w:rPr>
        <w:t xml:space="preserve">- отток с отечественного рынка труда квалифицированной рабочей силы.</w:t>
      </w:r>
    </w:p>
    <w:p>
      <w:pPr>
        <w:spacing w:after="60"/>
        <w:ind w:firstLine="567"/>
        <w:jc w:val="both"/>
      </w:pPr>
      <w:r>
        <w:rPr>
          <w:rFonts w:ascii="Arial" w:cs="Arial" w:eastAsia="Arial" w:hAnsi="Arial"/>
          <w:sz w:val="24"/>
          <w:szCs w:val="24"/>
        </w:rPr>
        <w:t xml:space="preserve">Поэтому развитие вышеуказанных негативных факторов может быть сопряжено со следующими макроэкономическими рисками:</w:t>
      </w:r>
    </w:p>
    <w:p>
      <w:pPr>
        <w:spacing w:after="60"/>
        <w:ind w:firstLine="567"/>
        <w:jc w:val="both"/>
      </w:pPr>
      <w:r>
        <w:rPr>
          <w:rFonts w:ascii="Arial" w:cs="Arial" w:eastAsia="Arial" w:hAnsi="Arial"/>
          <w:sz w:val="24"/>
          <w:szCs w:val="24"/>
        </w:rPr>
        <w:t xml:space="preserve">- сокращение внешнего спроса и ухудшение условий торговли со странами - основными торговыми партнерами (уменьшение спроса на кыргызские товары и услуги приведет к спаду объемов производства в экспортоориентированных отраслях экономики, что может повлечь ослабление курса национальной валюты вследствие уменьшения притока иностранной валюты);</w:t>
      </w:r>
    </w:p>
    <w:p>
      <w:pPr>
        <w:spacing w:after="60"/>
        <w:ind w:firstLine="567"/>
        <w:jc w:val="both"/>
      </w:pPr>
      <w:r>
        <w:rPr>
          <w:rFonts w:ascii="Arial" w:cs="Arial" w:eastAsia="Arial" w:hAnsi="Arial"/>
          <w:sz w:val="24"/>
          <w:szCs w:val="24"/>
        </w:rPr>
        <w:t xml:space="preserve">- рост стоимости импорта на основные продовольственные товары и энергоресурсы на фоне нынешней сложившейся ситуации на валютном рынке обусловит дополнительное инфляционное давление на экономику;</w:t>
      </w:r>
    </w:p>
    <w:p>
      <w:pPr>
        <w:spacing w:after="60"/>
        <w:ind w:firstLine="567"/>
        <w:jc w:val="both"/>
      </w:pPr>
      <w:r>
        <w:rPr>
          <w:rFonts w:ascii="Arial" w:cs="Arial" w:eastAsia="Arial" w:hAnsi="Arial"/>
          <w:sz w:val="24"/>
          <w:szCs w:val="24"/>
        </w:rPr>
        <w:t xml:space="preserve">- снижение доходов населения из-за уменьшения притока валюты по денежным переводам, возможно, усилит социальную напряженность в республике;</w:t>
      </w:r>
    </w:p>
    <w:p>
      <w:pPr>
        <w:spacing w:after="60"/>
        <w:ind w:firstLine="567"/>
        <w:jc w:val="both"/>
      </w:pPr>
      <w:r>
        <w:rPr>
          <w:rFonts w:ascii="Arial" w:cs="Arial" w:eastAsia="Arial" w:hAnsi="Arial"/>
          <w:sz w:val="24"/>
          <w:szCs w:val="24"/>
        </w:rPr>
        <w:t xml:space="preserve">- снижение объемов поступлений частных трансфертов приведет к сужению потребительского спроса и сокращению сбережений населения, тем самым к снижению объемов в секторе услуг, а также в жилищном строительстве (рост экономической активности во многом обусловлен ростом внутреннего спроса (сумма расходов на конечное потребление и валовое накопление), обеспеченного притоком денежных переводов трудовых мигрантов;</w:t>
      </w:r>
    </w:p>
    <w:p>
      <w:pPr>
        <w:spacing w:after="60"/>
        <w:ind w:firstLine="567"/>
        <w:jc w:val="both"/>
      </w:pPr>
      <w:r>
        <w:rPr>
          <w:rFonts w:ascii="Arial" w:cs="Arial" w:eastAsia="Arial" w:hAnsi="Arial"/>
          <w:sz w:val="24"/>
          <w:szCs w:val="24"/>
        </w:rPr>
        <w:t xml:space="preserve">- рост в отраслях сферы услуг, задействованных в реэкспорте, замедлится (торговля); ожидается общее замедление экономической активности в данной сфере, которое приведет к снижению спроса на транспортные услуги;</w:t>
      </w:r>
    </w:p>
    <w:p>
      <w:pPr>
        <w:spacing w:after="60"/>
        <w:ind w:firstLine="567"/>
        <w:jc w:val="both"/>
      </w:pPr>
      <w:r>
        <w:rPr>
          <w:rFonts w:ascii="Arial" w:cs="Arial" w:eastAsia="Arial" w:hAnsi="Arial"/>
          <w:sz w:val="24"/>
          <w:szCs w:val="24"/>
        </w:rPr>
        <w:t xml:space="preserve">- увеличение дефицита государственного бюджета вследствие сокращения потенциальных кредитных и грантовых поступлений при сохранении прежнего уровня социальных расходов.</w:t>
      </w:r>
    </w:p>
    <w:p>
      <w:pPr>
        <w:spacing w:after="60"/>
        <w:ind w:firstLine="567"/>
        <w:jc w:val="both"/>
      </w:pPr>
      <w:r>
        <w:rPr>
          <w:rFonts w:ascii="Arial" w:cs="Arial" w:eastAsia="Arial" w:hAnsi="Arial"/>
          <w:sz w:val="24"/>
          <w:szCs w:val="24"/>
        </w:rPr>
        <w:t xml:space="preserve">В этих условиях главной целью экономической политики на среднесрочный период будет сохранение макроэкономической стабильности.</w:t>
      </w:r>
    </w:p>
    <w:p>
      <w:pPr>
        <w:spacing w:after="60"/>
        <w:ind w:firstLine="567"/>
        <w:jc w:val="both"/>
      </w:pPr>
      <w:r>
        <w:rPr>
          <w:rFonts w:ascii="Arial" w:cs="Arial" w:eastAsia="Arial" w:hAnsi="Arial"/>
          <w:sz w:val="24"/>
          <w:szCs w:val="24"/>
        </w:rPr>
        <w:t xml:space="preserve">Среднесрочный прогноз предусматривает более активную политику государства, направленную на обеспечение устойчивого развития экономики и социальной стабильности, и характеризует развитие экономики в условиях принятия дополнительных мер стимулирующего характера.</w:t>
      </w:r>
    </w:p>
    <w:p>
      <w:pPr>
        <w:spacing w:after="200" w:before="200"/>
        <w:jc w:val="center"/>
      </w:pPr>
      <w:r>
        <w:rPr>
          <w:rFonts w:ascii="Arial" w:cs="Arial" w:eastAsia="Arial" w:hAnsi="Arial"/>
          <w:b/>
          <w:bCs/>
          <w:sz w:val="24"/>
          <w:szCs w:val="24"/>
        </w:rPr>
        <w:t xml:space="preserve">4. Оценка устойчивости национальной экономики</w:t>
      </w:r>
    </w:p>
    <w:p>
      <w:pPr>
        <w:spacing w:after="60"/>
        <w:ind w:firstLine="567"/>
        <w:jc w:val="both"/>
      </w:pPr>
      <w:r>
        <w:rPr>
          <w:rFonts w:ascii="Arial" w:cs="Arial" w:eastAsia="Arial" w:hAnsi="Arial"/>
          <w:sz w:val="24"/>
          <w:szCs w:val="24"/>
        </w:rPr>
        <w:t xml:space="preserve">Учитывая указанные факторы, имеющиеся ресурсы и исходя из сложившейся фактической ситуации, произведена оценка трех сценариев наиболее вероятных прогнозных значений на 2016-2019 годы, где предполагается, что экономический рост замедлится.</w:t>
      </w:r>
    </w:p>
    <w:p>
      <w:pPr>
        <w:spacing w:after="60"/>
        <w:ind w:firstLine="567"/>
        <w:jc w:val="both"/>
      </w:pPr>
      <w:r>
        <w:rPr>
          <w:rFonts w:ascii="Arial" w:cs="Arial" w:eastAsia="Arial" w:hAnsi="Arial"/>
          <w:sz w:val="24"/>
          <w:szCs w:val="24"/>
        </w:rPr>
        <w:t xml:space="preserve">На Координационном совете по макроэкономической и инвестиционной политике при Правительстве Кыргызской Республики из предложенных трех сценариев (вероятный (базовый), пессимистичный, оптимистичный) социально-экономического развития Кыргызской Республики на среднесрочный период (2017-2019 годы) одобрен базовый макроэкономический сценарий (Протокол от 10 марта 2016 года № 16-32) для формирования среднесрочного бюджета страны, при этом с учетом присутствующих рисков негативного влияния на макроэкономические параметры отмечена необходимость расчета среднесрочного прогноза бюджета также в рамках пессимистичного сценария для проведения оценки государственных финансов в случае возможных шоков.</w:t>
      </w:r>
    </w:p>
    <w:p>
      <w:pPr>
        <w:spacing w:after="120" w:before="200"/>
        <w:ind w:firstLine="567"/>
        <w:jc w:val="left"/>
      </w:pPr>
      <w:r>
        <w:rPr>
          <w:rFonts w:ascii="Arial" w:cs="Arial" w:eastAsia="Arial" w:hAnsi="Arial"/>
          <w:b/>
          <w:bCs/>
          <w:sz w:val="24"/>
          <w:szCs w:val="24"/>
        </w:rPr>
        <w:t xml:space="preserve">Таблица 7. Сценарии развития экономики страны на 2017-2019 годы, в %</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90"/>
        <w:gridCol w:w="1396"/>
        <w:gridCol w:w="1618"/>
        <w:gridCol w:w="1618"/>
        <w:gridCol w:w="1618"/>
        <w:gridCol w:w="1618"/>
        <w:gridCol w:w="1618"/>
      </w:tblGrid>
      <w:tr>
        <w:tc>
          <w:tcPr>
            <w:tcW w:type="dxa" w:w="69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Сценарии</w:t>
            </w:r>
          </w:p>
        </w:tc>
        <w:tc>
          <w:tcPr>
            <w:tcW w:type="dxa" w:w="161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 предв. факт</w:t>
            </w:r>
          </w:p>
        </w:tc>
        <w:tc>
          <w:tcPr>
            <w:tcW w:type="dxa" w:w="161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 ожид.</w:t>
            </w:r>
          </w:p>
        </w:tc>
        <w:tc>
          <w:tcPr>
            <w:tcW w:type="dxa" w:w="161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 прогноз</w:t>
            </w:r>
          </w:p>
        </w:tc>
        <w:tc>
          <w:tcPr>
            <w:tcW w:type="dxa" w:w="161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 прогноз</w:t>
            </w:r>
          </w:p>
        </w:tc>
        <w:tc>
          <w:tcPr>
            <w:tcW w:type="dxa" w:w="161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 прогноз</w:t>
            </w:r>
          </w:p>
        </w:tc>
      </w:tr>
      <w:tr>
        <w:tc>
          <w:tcPr>
            <w:tcW w:type="dxa" w:w="690"/>
            <w:vMerge w:val="restart"/>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ВВП</w:t>
            </w:r>
          </w:p>
        </w:tc>
        <w:tc>
          <w:tcPr>
            <w:tcW w:type="dxa" w:w="1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оптимист.</w:t>
            </w:r>
          </w:p>
        </w:tc>
        <w:tc>
          <w:tcPr>
            <w:tcW w:type="dxa" w:w="1618"/>
            <w:vMerge w:val="restart"/>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103,5</w:t>
            </w:r>
          </w:p>
        </w:tc>
        <w:tc>
          <w:tcPr>
            <w:tcW w:type="dxa" w:w="1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1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1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1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105,7</w:t>
            </w:r>
          </w:p>
        </w:tc>
      </w:tr>
      <w:tr>
        <w:tc>
          <w:tcPr>
            <w:vMerge w:val="continue"/>
            <w:tcBorders>
              <w:top w:val="none" w:color="auto" w:sz="0"/>
              <w:left w:val="single" w:color="CBBF9E" w:sz="4"/>
              <w:bottom w:val="single" w:color="CBBF9E" w:sz="4"/>
              <w:right w:val="single" w:color="CBBF9E" w:sz="4"/>
            </w:tcBorders>
          </w:tcPr>
          <w:p/>
        </w:tc>
        <w:tc>
          <w:tcPr>
            <w:tcW w:type="dxa" w:w="1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вероятный</w:t>
            </w:r>
          </w:p>
        </w:tc>
        <w:tc>
          <w:tcPr>
            <w:vMerge w:val="continue"/>
            <w:tcBorders>
              <w:top w:val="none" w:color="auto" w:sz="0"/>
              <w:left w:val="none" w:color="auto" w:sz="0"/>
              <w:bottom w:val="single" w:color="CBBF9E" w:sz="4"/>
              <w:right w:val="single" w:color="CBBF9E" w:sz="4"/>
            </w:tcBorders>
          </w:tcPr>
          <w:p/>
        </w:tc>
        <w:tc>
          <w:tcPr>
            <w:tcW w:type="dxa" w:w="1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1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1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1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r>
      <w:tr>
        <w:tc>
          <w:tcPr>
            <w:vMerge w:val="continue"/>
            <w:tcBorders>
              <w:top w:val="none" w:color="auto" w:sz="0"/>
              <w:left w:val="single" w:color="CBBF9E" w:sz="4"/>
              <w:bottom w:val="single" w:color="CBBF9E" w:sz="4"/>
              <w:right w:val="single" w:color="CBBF9E" w:sz="4"/>
            </w:tcBorders>
          </w:tcPr>
          <w:p/>
        </w:tc>
        <w:tc>
          <w:tcPr>
            <w:tcW w:type="dxa" w:w="1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пессимист.</w:t>
            </w:r>
          </w:p>
        </w:tc>
        <w:tc>
          <w:tcPr>
            <w:vMerge w:val="continue"/>
            <w:tcBorders>
              <w:top w:val="none" w:color="auto" w:sz="0"/>
              <w:left w:val="none" w:color="auto" w:sz="0"/>
              <w:bottom w:val="single" w:color="CBBF9E" w:sz="4"/>
              <w:right w:val="single" w:color="CBBF9E" w:sz="4"/>
            </w:tcBorders>
          </w:tcPr>
          <w:p/>
        </w:tc>
        <w:tc>
          <w:tcPr>
            <w:tcW w:type="dxa" w:w="1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1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1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1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r>
    </w:tbl>
    <w:p>
      <w:pPr>
        <w:spacing w:after="60" w:before="120"/>
        <w:ind w:firstLine="567"/>
        <w:jc w:val="both"/>
      </w:pPr>
      <w:r>
        <w:rPr>
          <w:rFonts w:ascii="Arial" w:cs="Arial" w:eastAsia="Arial" w:hAnsi="Arial"/>
          <w:sz w:val="24"/>
          <w:szCs w:val="24"/>
        </w:rPr>
        <w:t xml:space="preserve">Все три сценария прогноза разработаны на основе единой гипотезы внешних условий, которые приведены выше.</w:t>
      </w:r>
    </w:p>
    <w:p>
      <w:pPr>
        <w:spacing w:after="60"/>
        <w:ind w:firstLine="567"/>
        <w:jc w:val="both"/>
      </w:pPr>
      <w:r>
        <w:rPr>
          <w:rFonts w:ascii="Arial" w:cs="Arial" w:eastAsia="Arial" w:hAnsi="Arial"/>
          <w:sz w:val="24"/>
          <w:szCs w:val="24"/>
        </w:rPr>
        <w:t xml:space="preserve">В основу оценок сценариев развития страны заложены такие общие предпосылки, которые будут происходить в условиях сохраняющихся внешних и внутренних рисков (неустойчивость развития мировой экономики, сохранение введенных санкций в отношении Российской Федерации, пересмотр основных макроэкономических показателей в сторону снижения в странах-членах ЕАЭС и основных торговых партнерах), влияние природно-климатических условий на развитие сельского хозяйства и энергетики страны, волатильность обменного курса доллара по отношению к сому, волатильность на товарных рынках, умеренный рост инфляции и т.д., которые могут оказать влияние на развитие экономики страны на 2016 год.</w:t>
      </w:r>
    </w:p>
    <w:p>
      <w:pPr>
        <w:spacing w:after="60"/>
        <w:ind w:firstLine="567"/>
        <w:jc w:val="both"/>
      </w:pPr>
      <w:r>
        <w:rPr>
          <w:rFonts w:ascii="Arial" w:cs="Arial" w:eastAsia="Arial" w:hAnsi="Arial"/>
          <w:sz w:val="24"/>
          <w:szCs w:val="24"/>
        </w:rPr>
        <w:t xml:space="preserve">Различие сценариев обусловлено отличием моделей поведения частного бизнеса, перспективами повышения его конкурентоспособности и эффективностью реализации государственной политики развития и перспективами структурного маневра.</w:t>
      </w:r>
    </w:p>
    <w:p>
      <w:pPr>
        <w:spacing w:after="60"/>
        <w:ind w:firstLine="567"/>
        <w:jc w:val="both"/>
      </w:pPr>
      <w:r>
        <w:rPr>
          <w:rFonts w:ascii="Arial" w:cs="Arial" w:eastAsia="Arial" w:hAnsi="Arial"/>
          <w:sz w:val="24"/>
          <w:szCs w:val="24"/>
        </w:rPr>
        <w:t xml:space="preserve">Базовый сценарий предполагает наиболее вероятное развитие в рамках экономических траекторий, сложившихся в 2015 году. Пессимистичный сценарий предполагает реализацию набора негативных шоков, влияющих на отдельные секторы экономики, а также выявление проблемных сфер в среднесрочной траектории. Выявленные проблемные сферы и дисбалансы позволят обозначить направления, требующие внимания с точки зрения превентивного выявления и последующих антикризисных действий, направленных на сохранение устойчивого развития.</w:t>
      </w:r>
    </w:p>
    <w:p>
      <w:pPr>
        <w:spacing w:after="200" w:before="200"/>
        <w:jc w:val="center"/>
      </w:pPr>
      <w:r>
        <w:rPr>
          <w:rFonts w:ascii="Arial" w:cs="Arial" w:eastAsia="Arial" w:hAnsi="Arial"/>
          <w:b/>
          <w:bCs/>
          <w:sz w:val="24"/>
          <w:szCs w:val="24"/>
        </w:rPr>
        <w:t xml:space="preserve">5. Макроэкономические показатели, ожидаемые в 2016 году</w:t>
      </w:r>
    </w:p>
    <w:p>
      <w:pPr>
        <w:spacing w:after="60"/>
        <w:ind w:firstLine="567"/>
        <w:jc w:val="both"/>
      </w:pPr>
      <w:r>
        <w:rPr>
          <w:rFonts w:ascii="Arial" w:cs="Arial" w:eastAsia="Arial" w:hAnsi="Arial"/>
          <w:sz w:val="24"/>
          <w:szCs w:val="24"/>
        </w:rPr>
        <w:t xml:space="preserve">Главной целью экономической политики в 2016 году будет сохранение макроэкономической стабильности и закрепление положительной динамики экономического роста, для достижения которых будет активно реализовываться План действий Правительства Кыргызской Республики по реализации Программы Правительства Кыргызской Республики "Стабильность, доверие и новые возможности" на 2016 год (постановление Правительства Кыргызской Республики от 29 января 2016 года № 41).</w:t>
      </w:r>
    </w:p>
    <w:p>
      <w:pPr>
        <w:spacing w:after="60"/>
        <w:ind w:firstLine="567"/>
        <w:jc w:val="both"/>
      </w:pPr>
      <w:r>
        <w:rPr>
          <w:rFonts w:ascii="Arial" w:cs="Arial" w:eastAsia="Arial" w:hAnsi="Arial"/>
          <w:sz w:val="24"/>
          <w:szCs w:val="24"/>
        </w:rPr>
        <w:t xml:space="preserve">В 2016 году экономическое развитие страны, несмотря на существующие вызовы и тенденции, а также внутренние ограничения для экономического прогресса, будет осуществляться на основе проведения активной политики по формированию и усилению экономического потенциала в соответствии с основными ориентирами и задачами, заложенными в НСУР.</w:t>
      </w:r>
    </w:p>
    <w:p>
      <w:pPr>
        <w:spacing w:after="60"/>
        <w:ind w:firstLine="567"/>
        <w:jc w:val="both"/>
      </w:pPr>
      <w:r>
        <w:rPr>
          <w:rFonts w:ascii="Arial" w:cs="Arial" w:eastAsia="Arial" w:hAnsi="Arial"/>
          <w:sz w:val="24"/>
          <w:szCs w:val="24"/>
        </w:rPr>
        <w:t xml:space="preserve">Членство Кыргызстана в ЕАЭС будет выступать фактором обеспечения дополнительной устойчивости и развития экономики и одновременно являться ответом на указанные вызовы благодаря интеграционным мерам и действиям.</w:t>
      </w:r>
    </w:p>
    <w:p>
      <w:pPr>
        <w:spacing w:after="60"/>
        <w:ind w:firstLine="567"/>
        <w:jc w:val="both"/>
      </w:pPr>
      <w:r>
        <w:rPr>
          <w:rFonts w:ascii="Arial" w:cs="Arial" w:eastAsia="Arial" w:hAnsi="Arial"/>
          <w:sz w:val="24"/>
          <w:szCs w:val="24"/>
        </w:rPr>
        <w:t xml:space="preserve">В целях минимизации внешних факторов риска, которые связаны со снижением темпов экономического роста в мире и на пространстве ЕАЭС, а также создания благоприятных условий для развития предпринимательства действия Правительства Кыргызской Республики будут направлены на своевременную и качественную реализацию Программы Правительства Кыргызской Республики "Стабильность, доверие и новые возможности". Данная Программа содержит приоритетные направления, на которых необходимо сконцентрировать свои усилия в ближайшее время, она подкреплена пакетом законодательных, нормативных и правовых инициатив по их практической реализации. Для обеспечения устойчивого экономического роста деятельность Правительства Кыргызской Республики будет направлена на продолжение реализации крупных инвестиционных проектов.</w:t>
      </w:r>
    </w:p>
    <w:p>
      <w:pPr>
        <w:spacing w:after="60"/>
        <w:ind w:firstLine="567"/>
        <w:jc w:val="both"/>
      </w:pPr>
      <w:r>
        <w:rPr>
          <w:rFonts w:ascii="Arial" w:cs="Arial" w:eastAsia="Arial" w:hAnsi="Arial"/>
          <w:sz w:val="24"/>
          <w:szCs w:val="24"/>
        </w:rPr>
        <w:t xml:space="preserve">Достижение макроэкономической устойчивости обеспечит стабильность макроэкономических показателей, определяющих устойчивость экономического развития, предсказуемость проводимой экономической политики, даст представление о наличии у государства достаточных ресурсов и инструментов для своевременного реагирования на возникающие дисбалансы.</w:t>
      </w:r>
    </w:p>
    <w:p>
      <w:pPr>
        <w:spacing w:after="60"/>
        <w:ind w:firstLine="567"/>
        <w:jc w:val="both"/>
      </w:pPr>
      <w:r>
        <w:rPr>
          <w:rFonts w:ascii="Arial" w:cs="Arial" w:eastAsia="Arial" w:hAnsi="Arial"/>
          <w:b/>
          <w:bCs/>
          <w:sz w:val="24"/>
          <w:szCs w:val="24"/>
        </w:rPr>
        <w:t xml:space="preserve">Базовый (наиболее вероятный) сценарий.</w:t>
      </w:r>
      <w:r>
        <w:rPr>
          <w:rFonts w:ascii="Arial" w:cs="Arial" w:eastAsia="Arial" w:hAnsi="Arial"/>
          <w:sz w:val="24"/>
          <w:szCs w:val="24"/>
        </w:rPr>
        <w:t xml:space="preserve"> В основу формирования ожидаемых показателей 2016 года в базовом (наиболее вероятном) сценарии заложены, такие секторальные предпосылки, как:</w:t>
      </w:r>
    </w:p>
    <w:p>
      <w:pPr>
        <w:spacing w:after="60"/>
        <w:ind w:firstLine="567"/>
        <w:jc w:val="both"/>
      </w:pPr>
      <w:r>
        <w:rPr>
          <w:rFonts w:ascii="Arial" w:cs="Arial" w:eastAsia="Arial" w:hAnsi="Arial"/>
          <w:sz w:val="24"/>
          <w:szCs w:val="24"/>
        </w:rPr>
        <w:t xml:space="preserve">в сельском хозяйстве:</w:t>
      </w:r>
    </w:p>
    <w:p>
      <w:pPr>
        <w:spacing w:after="60"/>
        <w:ind w:firstLine="567"/>
        <w:jc w:val="both"/>
      </w:pPr>
      <w:r>
        <w:rPr>
          <w:rFonts w:ascii="Arial" w:cs="Arial" w:eastAsia="Arial" w:hAnsi="Arial"/>
          <w:sz w:val="24"/>
          <w:szCs w:val="24"/>
        </w:rPr>
        <w:t xml:space="preserve">- влияние природно-климатических факторов;</w:t>
      </w:r>
    </w:p>
    <w:p>
      <w:pPr>
        <w:spacing w:after="60"/>
        <w:ind w:firstLine="567"/>
        <w:jc w:val="both"/>
      </w:pPr>
      <w:r>
        <w:rPr>
          <w:rFonts w:ascii="Arial" w:cs="Arial" w:eastAsia="Arial" w:hAnsi="Arial"/>
          <w:sz w:val="24"/>
          <w:szCs w:val="24"/>
        </w:rPr>
        <w:t xml:space="preserve">- увеличение поголовья всех видов животных и домашней птицы в среднем на 2,7%;</w:t>
      </w:r>
    </w:p>
    <w:p>
      <w:pPr>
        <w:spacing w:after="60"/>
        <w:ind w:firstLine="567"/>
        <w:jc w:val="both"/>
      </w:pPr>
      <w:r>
        <w:rPr>
          <w:rFonts w:ascii="Arial" w:cs="Arial" w:eastAsia="Arial" w:hAnsi="Arial"/>
          <w:sz w:val="24"/>
          <w:szCs w:val="24"/>
        </w:rPr>
        <w:t xml:space="preserve">- оптимизация структуры посевных площадей для эффективного использования земельных ресурсов и повышение урожайности почти всех культур на 2016 год;</w:t>
      </w:r>
    </w:p>
    <w:p>
      <w:pPr>
        <w:spacing w:after="60"/>
        <w:ind w:firstLine="567"/>
        <w:jc w:val="both"/>
      </w:pPr>
      <w:r>
        <w:rPr>
          <w:rFonts w:ascii="Arial" w:cs="Arial" w:eastAsia="Arial" w:hAnsi="Arial"/>
          <w:sz w:val="24"/>
          <w:szCs w:val="24"/>
        </w:rPr>
        <w:t xml:space="preserve">- развитие тепличных хозяйств;</w:t>
      </w:r>
    </w:p>
    <w:p>
      <w:pPr>
        <w:spacing w:after="60"/>
        <w:ind w:firstLine="567"/>
        <w:jc w:val="both"/>
      </w:pPr>
      <w:r>
        <w:rPr>
          <w:rFonts w:ascii="Arial" w:cs="Arial" w:eastAsia="Arial" w:hAnsi="Arial"/>
          <w:sz w:val="24"/>
          <w:szCs w:val="24"/>
        </w:rPr>
        <w:t xml:space="preserve">- продолжение строительства убойных цехов;</w:t>
      </w:r>
    </w:p>
    <w:p>
      <w:pPr>
        <w:spacing w:after="60"/>
        <w:ind w:firstLine="567"/>
        <w:jc w:val="both"/>
      </w:pPr>
      <w:r>
        <w:rPr>
          <w:rFonts w:ascii="Arial" w:cs="Arial" w:eastAsia="Arial" w:hAnsi="Arial"/>
          <w:sz w:val="24"/>
          <w:szCs w:val="24"/>
        </w:rPr>
        <w:t xml:space="preserve">в промышленности:</w:t>
      </w:r>
    </w:p>
    <w:p>
      <w:pPr>
        <w:spacing w:after="60"/>
        <w:ind w:firstLine="567"/>
        <w:jc w:val="both"/>
      </w:pPr>
      <w:r>
        <w:rPr>
          <w:rFonts w:ascii="Arial" w:cs="Arial" w:eastAsia="Arial" w:hAnsi="Arial"/>
          <w:sz w:val="24"/>
          <w:szCs w:val="24"/>
        </w:rPr>
        <w:t xml:space="preserve">- ожидаемая стабильная работа предприятий по разработке месторождения Кумтор, в расчет принят средний предел запланированных объемов закрытого акционерного общества "Кумтор Голд Компани" (16 т или 515,1 тыс. унций);</w:t>
      </w:r>
    </w:p>
    <w:p>
      <w:pPr>
        <w:spacing w:after="60"/>
        <w:ind w:firstLine="567"/>
        <w:jc w:val="both"/>
      </w:pPr>
      <w:r>
        <w:rPr>
          <w:rFonts w:ascii="Arial" w:cs="Arial" w:eastAsia="Arial" w:hAnsi="Arial"/>
          <w:sz w:val="24"/>
          <w:szCs w:val="24"/>
        </w:rPr>
        <w:t xml:space="preserve">- увеличение объемов производства золота на открытом акционерном обществе "Кыргызалтын";</w:t>
      </w:r>
    </w:p>
    <w:p>
      <w:pPr>
        <w:spacing w:after="60"/>
        <w:ind w:firstLine="567"/>
        <w:jc w:val="both"/>
      </w:pPr>
      <w:r>
        <w:rPr>
          <w:rFonts w:ascii="Arial" w:cs="Arial" w:eastAsia="Arial" w:hAnsi="Arial"/>
          <w:sz w:val="24"/>
          <w:szCs w:val="24"/>
        </w:rPr>
        <w:t xml:space="preserve">- наращивание объемов производства на месторождение Бозымчак и запуск производства золота на месторождении Талды-Булак Левобережный;</w:t>
      </w:r>
    </w:p>
    <w:p>
      <w:pPr>
        <w:spacing w:after="60"/>
        <w:ind w:firstLine="567"/>
        <w:jc w:val="both"/>
      </w:pPr>
      <w:r>
        <w:rPr>
          <w:rFonts w:ascii="Arial" w:cs="Arial" w:eastAsia="Arial" w:hAnsi="Arial"/>
          <w:sz w:val="24"/>
          <w:szCs w:val="24"/>
        </w:rPr>
        <w:t xml:space="preserve">- наращивание объемов производства нефтеперерабатывающего завода "Джунда" и запуск Токмакского нефтеперерабатывающего завода;</w:t>
      </w:r>
    </w:p>
    <w:p>
      <w:pPr>
        <w:spacing w:after="60"/>
        <w:ind w:firstLine="567"/>
        <w:jc w:val="both"/>
      </w:pPr>
      <w:r>
        <w:rPr>
          <w:rFonts w:ascii="Arial" w:cs="Arial" w:eastAsia="Arial" w:hAnsi="Arial"/>
          <w:sz w:val="24"/>
          <w:szCs w:val="24"/>
        </w:rPr>
        <w:t xml:space="preserve">- сохранение объемов текстильного и швейного производства, в 2016 году на уровне объемов 2015 года;</w:t>
      </w:r>
    </w:p>
    <w:p>
      <w:pPr>
        <w:spacing w:after="60"/>
        <w:ind w:firstLine="567"/>
        <w:jc w:val="both"/>
      </w:pPr>
      <w:r>
        <w:rPr>
          <w:rFonts w:ascii="Arial" w:cs="Arial" w:eastAsia="Arial" w:hAnsi="Arial"/>
          <w:sz w:val="24"/>
          <w:szCs w:val="24"/>
        </w:rPr>
        <w:t xml:space="preserve">- наращивание объемов производства НПЗ "Джунда";</w:t>
      </w:r>
    </w:p>
    <w:p>
      <w:pPr>
        <w:spacing w:after="60"/>
        <w:ind w:firstLine="567"/>
        <w:jc w:val="both"/>
      </w:pPr>
      <w:r>
        <w:rPr>
          <w:rFonts w:ascii="Arial" w:cs="Arial" w:eastAsia="Arial" w:hAnsi="Arial"/>
          <w:sz w:val="24"/>
          <w:szCs w:val="24"/>
        </w:rPr>
        <w:t xml:space="preserve">- сохранение объемов производства листового стекла на открытом акционерном обществе "Интергласс" в 2016 году (16 млн. кв.м);</w:t>
      </w:r>
    </w:p>
    <w:p>
      <w:pPr>
        <w:spacing w:after="60"/>
        <w:ind w:firstLine="567"/>
        <w:jc w:val="both"/>
      </w:pPr>
      <w:r>
        <w:rPr>
          <w:rFonts w:ascii="Arial" w:cs="Arial" w:eastAsia="Arial" w:hAnsi="Arial"/>
          <w:sz w:val="24"/>
          <w:szCs w:val="24"/>
        </w:rPr>
        <w:t xml:space="preserve">- сокращение объемов добычи сырой нефти за счет истощения запасов на разрабатываемых месторождениях;</w:t>
      </w:r>
    </w:p>
    <w:p>
      <w:pPr>
        <w:spacing w:after="60"/>
        <w:ind w:firstLine="567"/>
        <w:jc w:val="both"/>
      </w:pPr>
      <w:r>
        <w:rPr>
          <w:rFonts w:ascii="Arial" w:cs="Arial" w:eastAsia="Arial" w:hAnsi="Arial"/>
          <w:sz w:val="24"/>
          <w:szCs w:val="24"/>
        </w:rPr>
        <w:t xml:space="preserve">- ожидание увеличения притока воды и, как следствие, восстановление объемов производства электроэнергии, в 2016 году прирост на 1,1%;</w:t>
      </w:r>
    </w:p>
    <w:p>
      <w:pPr>
        <w:spacing w:after="60"/>
        <w:ind w:firstLine="567"/>
        <w:jc w:val="both"/>
      </w:pPr>
      <w:r>
        <w:rPr>
          <w:rFonts w:ascii="Arial" w:cs="Arial" w:eastAsia="Arial" w:hAnsi="Arial"/>
          <w:sz w:val="24"/>
          <w:szCs w:val="24"/>
        </w:rPr>
        <w:t xml:space="preserve">в строительстве:</w:t>
      </w:r>
    </w:p>
    <w:p>
      <w:pPr>
        <w:spacing w:after="60"/>
        <w:ind w:firstLine="567"/>
        <w:jc w:val="both"/>
      </w:pPr>
      <w:r>
        <w:rPr>
          <w:rFonts w:ascii="Arial" w:cs="Arial" w:eastAsia="Arial" w:hAnsi="Arial"/>
          <w:sz w:val="24"/>
          <w:szCs w:val="24"/>
        </w:rPr>
        <w:t xml:space="preserve">- завершение строительства, реконструкции объектов образования, пострадавших от стихийных бедствий, и аварийных объектов, а также объектов высокой строительной готовности за счет средств, вырученных от реализации месторождения Джеруй, в объеме 3,1 млрд. сомов;</w:t>
      </w:r>
    </w:p>
    <w:p>
      <w:pPr>
        <w:spacing w:after="60"/>
        <w:ind w:firstLine="567"/>
        <w:jc w:val="both"/>
      </w:pPr>
      <w:r>
        <w:rPr>
          <w:rFonts w:ascii="Arial" w:cs="Arial" w:eastAsia="Arial" w:hAnsi="Arial"/>
          <w:sz w:val="24"/>
          <w:szCs w:val="24"/>
        </w:rPr>
        <w:t xml:space="preserve">- ожидаемое снижение чистого притока денежных переводов физических лиц, осуществленных через системы переводов, по отношению к 2015 году примерно на 10,2%;</w:t>
      </w:r>
    </w:p>
    <w:p>
      <w:pPr>
        <w:spacing w:after="60"/>
        <w:ind w:firstLine="567"/>
        <w:jc w:val="both"/>
      </w:pPr>
      <w:r>
        <w:rPr>
          <w:rFonts w:ascii="Arial" w:cs="Arial" w:eastAsia="Arial" w:hAnsi="Arial"/>
          <w:sz w:val="24"/>
          <w:szCs w:val="24"/>
        </w:rPr>
        <w:t xml:space="preserve">- поступление капитальных вложений за счет предприятий и организаций со стороны закрытого акционерного общества "Кумтор Голд компани", открытого акционерного общества "Кыргызалтын", "Газпром Кыргызстан" и др.;</w:t>
      </w:r>
    </w:p>
    <w:p>
      <w:pPr>
        <w:spacing w:after="60"/>
        <w:ind w:firstLine="567"/>
        <w:jc w:val="both"/>
      </w:pPr>
      <w:r>
        <w:rPr>
          <w:rFonts w:ascii="Arial" w:cs="Arial" w:eastAsia="Arial" w:hAnsi="Arial"/>
          <w:sz w:val="24"/>
          <w:szCs w:val="24"/>
        </w:rPr>
        <w:t xml:space="preserve">- реализация инвестиционных проектов и мер, заложенных в Плане Правительства Кыргызской Республики на 2016 год;</w:t>
      </w:r>
    </w:p>
    <w:p>
      <w:pPr>
        <w:spacing w:after="60"/>
        <w:ind w:firstLine="567"/>
        <w:jc w:val="both"/>
      </w:pPr>
      <w:r>
        <w:rPr>
          <w:rFonts w:ascii="Arial" w:cs="Arial" w:eastAsia="Arial" w:hAnsi="Arial"/>
          <w:sz w:val="24"/>
          <w:szCs w:val="24"/>
        </w:rPr>
        <w:t xml:space="preserve">- реализация в полном объеме проектов за счет увеличения капитальных вложений из государственного бюджета в 2016 году (в 2016 году капитальных вложений из государственного бюджета предусмотрено в сумме 4760,9 млн. сомов. Проектом бюджета по Программе государственных инвестиций на 2016 год прогнозируется в сумме 44,6 млрд. сомов);</w:t>
      </w:r>
    </w:p>
    <w:p>
      <w:pPr>
        <w:spacing w:after="60"/>
        <w:ind w:firstLine="567"/>
        <w:jc w:val="both"/>
      </w:pPr>
      <w:r>
        <w:rPr>
          <w:rFonts w:ascii="Arial" w:cs="Arial" w:eastAsia="Arial" w:hAnsi="Arial"/>
          <w:sz w:val="24"/>
          <w:szCs w:val="24"/>
        </w:rPr>
        <w:t xml:space="preserve">- перебои финансирования части крупных инвестиционных проектов;</w:t>
      </w:r>
    </w:p>
    <w:p>
      <w:pPr>
        <w:spacing w:after="60"/>
        <w:ind w:firstLine="567"/>
        <w:jc w:val="both"/>
      </w:pPr>
      <w:r>
        <w:rPr>
          <w:rFonts w:ascii="Arial" w:cs="Arial" w:eastAsia="Arial" w:hAnsi="Arial"/>
          <w:sz w:val="24"/>
          <w:szCs w:val="24"/>
        </w:rPr>
        <w:t xml:space="preserve">в сфере услуг:</w:t>
      </w:r>
    </w:p>
    <w:p>
      <w:pPr>
        <w:spacing w:after="60"/>
        <w:ind w:firstLine="567"/>
        <w:jc w:val="both"/>
      </w:pPr>
      <w:r>
        <w:rPr>
          <w:rFonts w:ascii="Arial" w:cs="Arial" w:eastAsia="Arial" w:hAnsi="Arial"/>
          <w:sz w:val="24"/>
          <w:szCs w:val="24"/>
        </w:rPr>
        <w:t xml:space="preserve">- стабилизация потребительского спроса и рост торговли на уровне в 2016 года - 5,1%;</w:t>
      </w:r>
    </w:p>
    <w:p>
      <w:pPr>
        <w:spacing w:after="60"/>
        <w:ind w:firstLine="567"/>
        <w:jc w:val="both"/>
      </w:pPr>
      <w:r>
        <w:rPr>
          <w:rFonts w:ascii="Arial" w:cs="Arial" w:eastAsia="Arial" w:hAnsi="Arial"/>
          <w:sz w:val="24"/>
          <w:szCs w:val="24"/>
        </w:rPr>
        <w:t xml:space="preserve">- внутренний спрос будет поддерживаться на потенциальном уровне, а отрасли услуг, задействованные в реэкспорте замедляться;</w:t>
      </w:r>
    </w:p>
    <w:p>
      <w:pPr>
        <w:spacing w:after="60"/>
        <w:ind w:firstLine="567"/>
        <w:jc w:val="both"/>
      </w:pPr>
      <w:r>
        <w:rPr>
          <w:rFonts w:ascii="Arial" w:cs="Arial" w:eastAsia="Arial" w:hAnsi="Arial"/>
          <w:sz w:val="24"/>
          <w:szCs w:val="24"/>
        </w:rPr>
        <w:t xml:space="preserve">- снижение показателей деятельности, связанных с реэкспортом товаров и общее замедление экономической активности приведут к снижению спроса на транспортные услуги. Развитие услуг по оказанию транспортных перевозок замедлится;</w:t>
      </w:r>
    </w:p>
    <w:p>
      <w:pPr>
        <w:spacing w:after="60"/>
        <w:ind w:firstLine="567"/>
        <w:jc w:val="both"/>
      </w:pPr>
      <w:r>
        <w:rPr>
          <w:rFonts w:ascii="Arial" w:cs="Arial" w:eastAsia="Arial" w:hAnsi="Arial"/>
          <w:sz w:val="24"/>
          <w:szCs w:val="24"/>
        </w:rPr>
        <w:t xml:space="preserve">- отрасль оказания услуг связи уже достигла той точки, при которой рынок достигает точки насыщения, и дальнейшее развитие будет происходить только за счет расширения охвата зоны обслуживания потребителей.</w:t>
      </w:r>
    </w:p>
    <w:p>
      <w:pPr>
        <w:spacing w:after="60"/>
        <w:ind w:firstLine="567"/>
        <w:jc w:val="both"/>
      </w:pPr>
      <w:r>
        <w:rPr>
          <w:rFonts w:ascii="Arial" w:cs="Arial" w:eastAsia="Arial" w:hAnsi="Arial"/>
          <w:sz w:val="24"/>
          <w:szCs w:val="24"/>
        </w:rPr>
        <w:t xml:space="preserve">На основе учета предпосылок, экономический рост в 2016 году ожидается на уровне 3,0%, а без учета предприятий по разработке месторождения Кумтор - на уровне 3,4%. Номинальный объем ВВП в 2016 году ожидается в сумме 461,5 млрд. сомов.</w:t>
      </w:r>
    </w:p>
    <w:p>
      <w:pPr>
        <w:spacing w:after="60"/>
        <w:ind w:firstLine="567"/>
        <w:jc w:val="both"/>
      </w:pPr>
      <w:r>
        <w:rPr>
          <w:rFonts w:ascii="Arial" w:cs="Arial" w:eastAsia="Arial" w:hAnsi="Arial"/>
          <w:sz w:val="24"/>
          <w:szCs w:val="24"/>
        </w:rPr>
        <w:t xml:space="preserve">Основные ожидаемые социально-экономические показатели в 2016 году сложатся следующим образом:</w:t>
      </w:r>
    </w:p>
    <w:p>
      <w:pPr>
        <w:spacing w:after="120" w:before="200"/>
        <w:jc w:val="left"/>
      </w:pPr>
      <w:r>
        <w:rPr>
          <w:rFonts w:ascii="Arial" w:cs="Arial" w:eastAsia="Arial" w:hAnsi="Arial"/>
          <w:b/>
          <w:bCs/>
          <w:sz w:val="24"/>
          <w:szCs w:val="24"/>
        </w:rPr>
        <w:t xml:space="preserve">Таблица 8. Структура и темпы роста по секторам, формирующим ВВП(11)
 (базовый сценарий)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23"/>
        <w:gridCol w:w="1087"/>
        <w:gridCol w:w="1087"/>
        <w:gridCol w:w="1087"/>
        <w:gridCol w:w="1049"/>
        <w:gridCol w:w="1049"/>
        <w:gridCol w:w="1049"/>
        <w:gridCol w:w="1049"/>
      </w:tblGrid>
      <w:tr>
        <w:tc>
          <w:tcPr>
            <w:tcW w:type="dxa" w:w="2723"/>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61"/>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 предв. факт</w:t>
            </w:r>
          </w:p>
        </w:tc>
        <w:tc>
          <w:tcPr>
            <w:tcW w:type="dxa" w:w="4196"/>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 ожид.</w:t>
            </w:r>
          </w:p>
        </w:tc>
      </w:tr>
      <w:tr>
        <w:tc>
          <w:tcPr>
            <w:vMerge w:val="continue"/>
            <w:tcBorders>
              <w:top w:val="single" w:color="CBBF9E" w:sz="4"/>
              <w:left w:val="single" w:color="CBBF9E" w:sz="4"/>
              <w:bottom w:val="single" w:color="CBBF9E" w:sz="4"/>
              <w:right w:val="single" w:color="CBBF9E" w:sz="4"/>
            </w:tcBorders>
          </w:tcP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млн. сомов</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темп роста, %</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 к ВВП</w:t>
            </w:r>
          </w:p>
        </w:tc>
        <w:tc>
          <w:tcPr>
            <w:tcW w:type="dxa" w:w="104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млн. сомов</w:t>
            </w:r>
          </w:p>
        </w:tc>
        <w:tc>
          <w:tcPr>
            <w:tcW w:type="dxa" w:w="104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темп роста, %</w:t>
            </w:r>
          </w:p>
        </w:tc>
        <w:tc>
          <w:tcPr>
            <w:tcW w:type="dxa" w:w="104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 к ВВП</w:t>
            </w:r>
          </w:p>
        </w:tc>
        <w:tc>
          <w:tcPr>
            <w:tcW w:type="dxa" w:w="104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доля вклада в рост ВВП, п.п.</w:t>
            </w:r>
          </w:p>
        </w:tc>
      </w:tr>
      <w:tr>
        <w:tc>
          <w:tcPr>
            <w:tcW w:type="dxa" w:w="2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423635,5</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0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461527,1</w:t>
            </w:r>
          </w:p>
        </w:tc>
        <w:tc>
          <w:tcPr>
            <w:tcW w:type="dxa" w:w="10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10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0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r>
      <w:tr>
        <w:tc>
          <w:tcPr>
            <w:tcW w:type="dxa" w:w="2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59395,6</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w:t>
            </w:r>
          </w:p>
        </w:tc>
        <w:tc>
          <w:tcPr>
            <w:tcW w:type="dxa" w:w="10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63542,0</w:t>
            </w:r>
          </w:p>
        </w:tc>
        <w:tc>
          <w:tcPr>
            <w:tcW w:type="dxa" w:w="10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10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13,8</w:t>
            </w:r>
          </w:p>
        </w:tc>
        <w:tc>
          <w:tcPr>
            <w:tcW w:type="dxa" w:w="10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0,21</w:t>
            </w:r>
          </w:p>
        </w:tc>
      </w:tr>
      <w:tr>
        <w:tc>
          <w:tcPr>
            <w:tcW w:type="dxa" w:w="2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64959,7</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95,8</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15,3</w:t>
            </w:r>
          </w:p>
        </w:tc>
        <w:tc>
          <w:tcPr>
            <w:tcW w:type="dxa" w:w="10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68517,2</w:t>
            </w:r>
          </w:p>
        </w:tc>
        <w:tc>
          <w:tcPr>
            <w:tcW w:type="dxa" w:w="10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c>
          <w:tcPr>
            <w:tcW w:type="dxa" w:w="10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w:t>
            </w:r>
          </w:p>
        </w:tc>
        <w:tc>
          <w:tcPr>
            <w:tcW w:type="dxa" w:w="10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0,29</w:t>
            </w:r>
          </w:p>
        </w:tc>
      </w:tr>
      <w:tr>
        <w:tc>
          <w:tcPr>
            <w:tcW w:type="dxa" w:w="2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35322,9</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113,9</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w:t>
            </w:r>
          </w:p>
        </w:tc>
        <w:tc>
          <w:tcPr>
            <w:tcW w:type="dxa" w:w="10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40461,1</w:t>
            </w:r>
          </w:p>
        </w:tc>
        <w:tc>
          <w:tcPr>
            <w:tcW w:type="dxa" w:w="10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109,3</w:t>
            </w:r>
          </w:p>
        </w:tc>
        <w:tc>
          <w:tcPr>
            <w:tcW w:type="dxa" w:w="10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w:t>
            </w:r>
          </w:p>
        </w:tc>
        <w:tc>
          <w:tcPr>
            <w:tcW w:type="dxa" w:w="10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0,78</w:t>
            </w:r>
          </w:p>
        </w:tc>
      </w:tr>
      <w:tr>
        <w:tc>
          <w:tcPr>
            <w:tcW w:type="dxa" w:w="2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Сфера услуг</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212901,9</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50,3</w:t>
            </w:r>
          </w:p>
        </w:tc>
        <w:tc>
          <w:tcPr>
            <w:tcW w:type="dxa" w:w="10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233391,0</w:t>
            </w:r>
          </w:p>
        </w:tc>
        <w:tc>
          <w:tcPr>
            <w:tcW w:type="dxa" w:w="10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c>
          <w:tcPr>
            <w:tcW w:type="dxa" w:w="10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50,5</w:t>
            </w:r>
          </w:p>
        </w:tc>
        <w:tc>
          <w:tcPr>
            <w:tcW w:type="dxa" w:w="10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w:t>
            </w:r>
          </w:p>
        </w:tc>
      </w:tr>
      <w:tr>
        <w:tc>
          <w:tcPr>
            <w:tcW w:type="dxa" w:w="2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Чистые налоги на продуты и импорт</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51055,4</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10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55615,7</w:t>
            </w:r>
          </w:p>
        </w:tc>
        <w:tc>
          <w:tcPr>
            <w:tcW w:type="dxa" w:w="10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10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10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0,37</w:t>
            </w:r>
          </w:p>
        </w:tc>
      </w:tr>
    </w:tbl>
    <w:p>
      <w:pPr>
        <w:spacing w:after="60" w:before="120"/>
        <w:ind w:firstLine="567"/>
        <w:jc w:val="both"/>
      </w:pPr>
      <w:r>
        <w:rPr>
          <w:rFonts w:ascii="Arial" w:cs="Arial" w:eastAsia="Arial" w:hAnsi="Arial"/>
          <w:sz w:val="24"/>
          <w:szCs w:val="24"/>
        </w:rPr>
        <w:t xml:space="preserve">Ожидаемый экономический рост на уровне 3,0% будет обеспечиваться положительным вкладом в ВВП всех секторов </w:t>
      </w:r>
      <w:r>
        <w:rPr>
          <w:rFonts w:ascii="Arial" w:cs="Arial" w:eastAsia="Arial" w:hAnsi="Arial"/>
          <w:sz w:val="24"/>
          <w:szCs w:val="24"/>
        </w:rPr>
        <w:t xml:space="preserve">экономики, в том числе за счет роста: (1) производства сельского хозяйства - на 1,5%; (2) строительного сектора - на 9,3%; (3) промышленности - на 1,9%, (4) сектора услуг - на 2,8%. При этом наибольший вклад будет обеспечен со стороны сектора услуг (1,40 процентного пункта), а вклады строительства (0,77 процентного пункта), промышленности (0,29 процентного пункта) и сельского хозяйства (0,21 процентного пункта) будут умеренными.</w:t>
      </w:r>
    </w:p>
    <w:p>
      <w:pPr>
        <w:spacing w:after="60"/>
        <w:ind w:firstLine="567"/>
        <w:jc w:val="both"/>
      </w:pPr>
      <w:r>
        <w:rPr>
          <w:rFonts w:ascii="Arial" w:cs="Arial" w:eastAsia="Arial" w:hAnsi="Arial"/>
          <w:sz w:val="24"/>
          <w:szCs w:val="24"/>
        </w:rPr>
        <w:t xml:space="preserve">В 2016 году определенную роль в возможном снижении производства ВВП может сыграть сокращение потребительского и инвестиционного спроса.</w:t>
      </w:r>
    </w:p>
    <w:p>
      <w:pPr>
        <w:spacing w:after="60"/>
        <w:ind w:firstLine="567"/>
        <w:jc w:val="both"/>
      </w:pPr>
      <w:r>
        <w:rPr>
          <w:rFonts w:ascii="Arial" w:cs="Arial" w:eastAsia="Arial" w:hAnsi="Arial"/>
          <w:sz w:val="24"/>
          <w:szCs w:val="24"/>
        </w:rPr>
        <w:t xml:space="preserve">Ожидается, что в 2016 году инфляция будет расти умеренными темпами. Удержание инфляции в пределах однозначных значений, а также умеренный экономический рост будут стимулировать рост реальных доходов населения.</w:t>
      </w:r>
    </w:p>
    <w:p>
      <w:pPr>
        <w:spacing w:after="60"/>
        <w:ind w:firstLine="567"/>
        <w:jc w:val="both"/>
      </w:pPr>
      <w:r>
        <w:rPr>
          <w:rFonts w:ascii="Arial" w:cs="Arial" w:eastAsia="Arial" w:hAnsi="Arial"/>
          <w:sz w:val="24"/>
          <w:szCs w:val="24"/>
        </w:rPr>
        <w:t xml:space="preserve">В 2016 году рост потребительских цен преимущественно будет определяться волатильностью обменного курса национальной валюты к иностранным валютам, мировыми ценами на продовольствие, а также инфляционными ожиданиями населения в связи с функционированием экономики Кыргызской Республики в рамках членства ЕАЭС.</w:t>
      </w:r>
    </w:p>
    <w:p>
      <w:pPr>
        <w:spacing w:after="60"/>
        <w:ind w:firstLine="567"/>
        <w:jc w:val="both"/>
      </w:pPr>
      <w:r>
        <w:rPr>
          <w:rFonts w:ascii="Arial" w:cs="Arial" w:eastAsia="Arial" w:hAnsi="Arial"/>
          <w:sz w:val="24"/>
          <w:szCs w:val="24"/>
        </w:rPr>
        <w:t xml:space="preserve">Сдерживающее влияние на внутренние цены продолжит оказывать благоприятная ценовая ситуация на мировых рынках продовольствия и сырья. В соответствии со Среднесрочной тарифной политикой Правительства Кыргызской Республики на 2014-2017 годы (постановление Правительства Кыргызской Республики от 20 ноября 2014 года № 660) в 2016 году продолжится процесс поэтапного повышения тарифов на электрическую и тепловую энергию. Несмотря на некоторое улучшение прогнозов макроэкономического развития стран - основных торговых партнеров Кыргызстана, внешний фон может оставаться напряженным, что обуславливает сохранение повышенного инфляционного давления.</w:t>
      </w:r>
    </w:p>
    <w:p>
      <w:pPr>
        <w:spacing w:after="60"/>
        <w:ind w:firstLine="567"/>
        <w:jc w:val="both"/>
      </w:pPr>
      <w:r>
        <w:rPr>
          <w:rFonts w:ascii="Arial" w:cs="Arial" w:eastAsia="Arial" w:hAnsi="Arial"/>
          <w:sz w:val="24"/>
          <w:szCs w:val="24"/>
        </w:rPr>
        <w:t xml:space="preserve">Учитывая тесную интеграцию экономики Кыргызской Республики в региональную экономику, уровень инфляции зависит, прежде всего, от ухудшения/улучшения внешней региональной конъюнктуры. Так, в частности, в последнем прогнозе Министерства экономического развития Российской Федерации прогнозируется снижение инфляции в годом выражении до 6,4%, а среднегодового роста - до 7,6% в 2016 году. Однако, присутствует значительный риск превышения прогнозируемого уровня инфляции, который связан с возможным дальнейшим ослаблением курса рубля в случае более низких цен на нефть и сохранения неопределенности на валютном рынке. В Республике Казахстан уровень инфляции ожидается в коридоре 6,0-8,0%.</w:t>
      </w:r>
    </w:p>
    <w:p>
      <w:pPr>
        <w:spacing w:after="60"/>
        <w:ind w:firstLine="567"/>
        <w:jc w:val="both"/>
      </w:pPr>
      <w:r>
        <w:rPr>
          <w:rFonts w:ascii="Arial" w:cs="Arial" w:eastAsia="Arial" w:hAnsi="Arial"/>
          <w:sz w:val="24"/>
          <w:szCs w:val="24"/>
        </w:rPr>
        <w:t xml:space="preserve">По прогнозу Продовольственной и сельскохозяйственной организации Объединенных Наций (далее - ФАО) хороший урожай пшеницы ожидается в Китае и Южной Азии в 2016 году. В последней сводке ФАО "Предложение зерновых и спрос на зерновые" прогнозируется снижение мирового производства пшеницы в 2016 году на 1,4%, главным образом, вследствие засушливых погодных условий, которые привели к снижению урожаев озимых в Российской Федерации и Украине. Тем не менее, Китай и Пакистан, согласно прогнозам, получат почти рекордные урожаи пшеницы. Также ожидается восстановление производства в Индии.</w:t>
      </w:r>
    </w:p>
    <w:p>
      <w:pPr>
        <w:spacing w:after="60"/>
        <w:ind w:firstLine="567"/>
        <w:jc w:val="both"/>
      </w:pPr>
      <w:r>
        <w:rPr>
          <w:rFonts w:ascii="Arial" w:cs="Arial" w:eastAsia="Arial" w:hAnsi="Arial"/>
          <w:sz w:val="24"/>
          <w:szCs w:val="24"/>
        </w:rPr>
        <w:t xml:space="preserve">В соответствии с февральским отчетом 2016 года МСХ США (USDA) в России прогноз производства пшеницы составил 61 млн. тонн, потребления 37 млн. тонн, а конечных запасов - 7,282 млн. тонн; в Казахстане прогноз производства пшеницы снизился с 14 до 13,748 млн. тонн, уровень торговли пшеницей не изменился - 6,5 млн. тонн.</w:t>
      </w:r>
    </w:p>
    <w:p>
      <w:pPr>
        <w:spacing w:after="60"/>
        <w:ind w:firstLine="567"/>
        <w:jc w:val="both"/>
      </w:pPr>
      <w:r>
        <w:rPr>
          <w:rFonts w:ascii="Arial" w:cs="Arial" w:eastAsia="Arial" w:hAnsi="Arial"/>
          <w:sz w:val="24"/>
          <w:szCs w:val="24"/>
        </w:rPr>
        <w:t xml:space="preserve">По данным Международного Совета (IGC) по зерну, для России и Казахстана прогноз на 2015-2016 сезон в феврале 2016 года изменен по некоторым статьям баланса. В России начальные запасы зерна не изменились - 9,8 млн. тонн, прогноз производства повышен с 98,3 до 98,9 млн. тонн, а данные по импорту не менялись - 0,7 млн. тонн. В итоге общий годовой баланс увеличен с 108,8 до 109,4 млн. тонн, экспорт остался неизменным и составил - 31,3 млн. тонн, по пшенице прогноз производства повышен с 60,6 до 61,0 млн. тонн, общий годовой баланс подрос с 67,9 до 68,3 млн. тонн, экспорт не изменился - 23,4 млн. тонн. В Казахстане начальные запасы зерна не изменились - 3 млн. тонн, прогноз производства повышен с 17,3 до 17,5 млн. тонн, а данные по импорту не менялись - 0,2 млн. тонн. В итоге общий годовой баланс увеличен с 20,5 до 20,7 млн. тонн, экспорт вырос с 6,9 до 7 млн. тонн, по пшенице прогноз производства снижен с 14 до 13,7 млн. тонн, импорт не менялся - 0,2 млн. тонн. Общий годовой баланс уменьшился с 16,6 до 16,3 млн. тонн, экспорт остался на отметке 6,5 млн. тонн.</w:t>
      </w:r>
    </w:p>
    <w:p>
      <w:pPr>
        <w:spacing w:after="60"/>
        <w:ind w:firstLine="567"/>
        <w:jc w:val="both"/>
      </w:pPr>
      <w:r>
        <w:rPr>
          <w:rFonts w:ascii="Arial" w:cs="Arial" w:eastAsia="Arial" w:hAnsi="Arial"/>
          <w:sz w:val="24"/>
          <w:szCs w:val="24"/>
        </w:rPr>
        <w:t xml:space="preserve">Сдерживающее воздействие на инфляцию могут оказывать благоприятные прогнозы международных организаций по основным видам продуктов и положительно сказываться на динамике потребительских цен на продовольственные товары, которые наиболее существенно влияют на инфляцию.</w:t>
      </w:r>
    </w:p>
    <w:p>
      <w:pPr>
        <w:spacing w:after="60"/>
        <w:ind w:firstLine="567"/>
        <w:jc w:val="both"/>
      </w:pPr>
      <w:r>
        <w:rPr>
          <w:rFonts w:ascii="Arial" w:cs="Arial" w:eastAsia="Arial" w:hAnsi="Arial"/>
          <w:sz w:val="24"/>
          <w:szCs w:val="24"/>
        </w:rPr>
        <w:t xml:space="preserve">В целях недопущения резких колебаний обменного курса, предотвращения спекулятивных операций на валютном рынке, недопущения резкого повышения цен на товары, услуги и ГСМ будут реализовываться антикризисные мероприятия и мероприятия по укреплению национальной валюты и дедолларизации экономики, заложенные в Плане действий Правительства Кыргызской Республики по реализации Программы Правительства Кыргызской Республики "Стабильность, доверие и новые возможности" на 2016 год (утвержден постановлением Правительства Кыргызской Республики от 29 января 2016 года № 41), где основными мерами являются:</w:t>
      </w:r>
    </w:p>
    <w:p>
      <w:pPr>
        <w:spacing w:after="60"/>
        <w:ind w:firstLine="567"/>
        <w:jc w:val="both"/>
      </w:pPr>
      <w:r>
        <w:rPr>
          <w:rFonts w:ascii="Arial" w:cs="Arial" w:eastAsia="Arial" w:hAnsi="Arial"/>
          <w:sz w:val="24"/>
          <w:szCs w:val="24"/>
        </w:rPr>
        <w:t xml:space="preserve">- проведение валютных интервенций в целях сглаживания резких колебаний обменного курса сома;</w:t>
      </w:r>
    </w:p>
    <w:p>
      <w:pPr>
        <w:spacing w:after="60"/>
        <w:ind w:firstLine="567"/>
        <w:jc w:val="both"/>
      </w:pPr>
      <w:r>
        <w:rPr>
          <w:rFonts w:ascii="Arial" w:cs="Arial" w:eastAsia="Arial" w:hAnsi="Arial"/>
          <w:sz w:val="24"/>
          <w:szCs w:val="24"/>
        </w:rPr>
        <w:t xml:space="preserve">- проведение оценки товарных запасов продуктов питания (продовольственная пшеница, мясо, масло, сахар и др.) и ГСМ, при необходимости, осуществление товарной интервенции;</w:t>
      </w:r>
    </w:p>
    <w:p>
      <w:pPr>
        <w:spacing w:after="60"/>
        <w:ind w:firstLine="567"/>
        <w:jc w:val="both"/>
      </w:pPr>
      <w:r>
        <w:rPr>
          <w:rFonts w:ascii="Arial" w:cs="Arial" w:eastAsia="Arial" w:hAnsi="Arial"/>
          <w:sz w:val="24"/>
          <w:szCs w:val="24"/>
        </w:rPr>
        <w:t xml:space="preserve">- усиление работы по проведению постоянных совместных рейдов по обменным бюро и ужесточению наказания за безлицензионную деятельность;</w:t>
      </w:r>
    </w:p>
    <w:p>
      <w:pPr>
        <w:spacing w:after="60"/>
        <w:ind w:firstLine="567"/>
        <w:jc w:val="both"/>
      </w:pPr>
      <w:r>
        <w:rPr>
          <w:rFonts w:ascii="Arial" w:cs="Arial" w:eastAsia="Arial" w:hAnsi="Arial"/>
          <w:sz w:val="24"/>
          <w:szCs w:val="24"/>
        </w:rPr>
        <w:t xml:space="preserve">- внесение предложений по созданию механизма трансформации ипотечных кредитов бюджетных работников и социально уязвимых слоев населения, полученных в иностранной валюте;</w:t>
      </w:r>
    </w:p>
    <w:p>
      <w:pPr>
        <w:spacing w:after="60"/>
        <w:ind w:firstLine="567"/>
        <w:jc w:val="both"/>
      </w:pPr>
      <w:r>
        <w:rPr>
          <w:rFonts w:ascii="Arial" w:cs="Arial" w:eastAsia="Arial" w:hAnsi="Arial"/>
          <w:sz w:val="24"/>
          <w:szCs w:val="24"/>
        </w:rPr>
        <w:t xml:space="preserve">- осуществление мониторинга цен на социально значимые товары и услуги (мука, хлеб, мясо, молоко, масло, сахар, ГСМ и др.);</w:t>
      </w:r>
    </w:p>
    <w:p>
      <w:pPr>
        <w:spacing w:after="60"/>
        <w:ind w:firstLine="567"/>
        <w:jc w:val="both"/>
      </w:pPr>
      <w:r>
        <w:rPr>
          <w:rFonts w:ascii="Arial" w:cs="Arial" w:eastAsia="Arial" w:hAnsi="Arial"/>
          <w:sz w:val="24"/>
          <w:szCs w:val="24"/>
        </w:rPr>
        <w:t xml:space="preserve">- усиление контроля над нелегальным ввозом товаров и повышение уровня администрирования доходов;</w:t>
      </w:r>
    </w:p>
    <w:p>
      <w:pPr>
        <w:spacing w:after="60"/>
        <w:ind w:firstLine="567"/>
        <w:jc w:val="both"/>
      </w:pPr>
      <w:r>
        <w:rPr>
          <w:rFonts w:ascii="Arial" w:cs="Arial" w:eastAsia="Arial" w:hAnsi="Arial"/>
          <w:sz w:val="24"/>
          <w:szCs w:val="24"/>
        </w:rPr>
        <w:t xml:space="preserve">- создание механизма стимулирования сбережений населения в национальной валюте по сравнению с долларовыми сбережениями;</w:t>
      </w:r>
    </w:p>
    <w:p>
      <w:pPr>
        <w:spacing w:after="60"/>
        <w:ind w:firstLine="567"/>
        <w:jc w:val="both"/>
      </w:pPr>
      <w:r>
        <w:rPr>
          <w:rFonts w:ascii="Arial" w:cs="Arial" w:eastAsia="Arial" w:hAnsi="Arial"/>
          <w:sz w:val="24"/>
          <w:szCs w:val="24"/>
        </w:rPr>
        <w:t xml:space="preserve">- совершенствование структуры отраслей экономики (диверсификация экономики);</w:t>
      </w:r>
    </w:p>
    <w:p>
      <w:pPr>
        <w:spacing w:after="60"/>
        <w:ind w:firstLine="567"/>
        <w:jc w:val="both"/>
      </w:pPr>
      <w:r>
        <w:rPr>
          <w:rFonts w:ascii="Arial" w:cs="Arial" w:eastAsia="Arial" w:hAnsi="Arial"/>
          <w:sz w:val="24"/>
          <w:szCs w:val="24"/>
        </w:rPr>
        <w:t xml:space="preserve">- проведение информационных кампаний по формированию у населения доверия к национальной валюте, как единственному средству платежа, а к иностранной валюте - не более чем как к резервной валюте;</w:t>
      </w:r>
    </w:p>
    <w:p>
      <w:pPr>
        <w:spacing w:after="60"/>
        <w:ind w:firstLine="567"/>
        <w:jc w:val="both"/>
      </w:pPr>
      <w:r>
        <w:rPr>
          <w:rFonts w:ascii="Arial" w:cs="Arial" w:eastAsia="Arial" w:hAnsi="Arial"/>
          <w:sz w:val="24"/>
          <w:szCs w:val="24"/>
        </w:rPr>
        <w:t xml:space="preserve">- широкое освещение в СМИ (организация регулярных теле- и радиопередач, пресс-конференций).</w:t>
      </w:r>
    </w:p>
    <w:p>
      <w:pPr>
        <w:spacing w:after="60"/>
        <w:ind w:firstLine="567"/>
        <w:jc w:val="both"/>
      </w:pPr>
      <w:r>
        <w:rPr>
          <w:rFonts w:ascii="Arial" w:cs="Arial" w:eastAsia="Arial" w:hAnsi="Arial"/>
          <w:sz w:val="24"/>
          <w:szCs w:val="24"/>
        </w:rPr>
        <w:t xml:space="preserve">В региональном разрезе основная доля производства ВВП в 2016 году будет обеспечиваться за счет функционирования экономик города Бишкек, Чуйской, Иссык-Кульской и Джалал-Абадской областей, с удельным весом 76,6%, суммарный вклад в рост ВВП которых в ВВП республики составит 2,7 п.п. Значительные доли в общем объеме производства ВВП Джалал-Абадской (11,6%) и Иссык-Кульской (12,2%) областей связаны с тем, что на территории Джалал-Абадской области производится около 90% вырабатываемой в республике электроэнергии, а на территории Иссык-Кульской области расположены предприятия по разработке месторождения Кумтор.</w:t>
      </w:r>
    </w:p>
    <w:p>
      <w:pPr>
        <w:spacing w:after="60"/>
        <w:ind w:firstLine="567"/>
        <w:jc w:val="both"/>
      </w:pPr>
      <w:r>
        <w:rPr>
          <w:rFonts w:ascii="Arial" w:cs="Arial" w:eastAsia="Arial" w:hAnsi="Arial"/>
          <w:sz w:val="24"/>
          <w:szCs w:val="24"/>
        </w:rPr>
        <w:t xml:space="preserve">Оставшаяся часть доли будет распределена между другими областями с наименьшим удельным весом на уровне 23,4% - Ошской, Баткенской, Нарынской, Таласской и городом Ош.</w:t>
      </w:r>
    </w:p>
    <w:p>
      <w:pPr>
        <w:spacing w:after="120" w:before="200"/>
        <w:ind w:firstLine="567"/>
        <w:jc w:val="left"/>
      </w:pPr>
      <w:r>
        <w:rPr>
          <w:rFonts w:ascii="Arial" w:cs="Arial" w:eastAsia="Arial" w:hAnsi="Arial"/>
          <w:b/>
          <w:bCs/>
          <w:sz w:val="24"/>
          <w:szCs w:val="24"/>
        </w:rPr>
        <w:t xml:space="preserve">Таблица 9. Вклады регионов в производство ВВП</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71"/>
        <w:gridCol w:w="1088"/>
        <w:gridCol w:w="1088"/>
        <w:gridCol w:w="1108"/>
        <w:gridCol w:w="1108"/>
        <w:gridCol w:w="1108"/>
        <w:gridCol w:w="1108"/>
      </w:tblGrid>
      <w:tr>
        <w:tc>
          <w:tcPr>
            <w:tcW w:type="dxa" w:w="3571"/>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Показатели</w:t>
            </w:r>
          </w:p>
        </w:tc>
        <w:tc>
          <w:tcPr>
            <w:tcW w:type="dxa" w:w="217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 оценка</w:t>
            </w:r>
          </w:p>
        </w:tc>
        <w:tc>
          <w:tcPr>
            <w:tcW w:type="dxa" w:w="4432"/>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 ожидаемое</w:t>
            </w:r>
          </w:p>
        </w:tc>
      </w:tr>
      <w:tr>
        <w:tc>
          <w:tcPr>
            <w:vMerge w:val="continue"/>
            <w:tcBorders>
              <w:top w:val="single" w:color="CBBF9E" w:sz="4"/>
              <w:left w:val="single" w:color="CBBF9E" w:sz="4"/>
              <w:bottom w:val="single" w:color="CBBF9E" w:sz="4"/>
              <w:right w:val="single" w:color="CBBF9E" w:sz="4"/>
            </w:tcBorders>
          </w:tcPr>
          <w:p/>
        </w:tc>
        <w:tc>
          <w:tcPr>
            <w:tcW w:type="dxa" w:w="10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млн. сомов</w:t>
            </w:r>
          </w:p>
        </w:tc>
        <w:tc>
          <w:tcPr>
            <w:tcW w:type="dxa" w:w="10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Темп роста, %</w:t>
            </w:r>
          </w:p>
        </w:tc>
        <w:tc>
          <w:tcPr>
            <w:tcW w:type="dxa" w:w="110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млн. сомов</w:t>
            </w:r>
          </w:p>
        </w:tc>
        <w:tc>
          <w:tcPr>
            <w:tcW w:type="dxa" w:w="110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Темп роста, %</w:t>
            </w:r>
          </w:p>
        </w:tc>
        <w:tc>
          <w:tcPr>
            <w:tcW w:type="dxa" w:w="110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 к ВВП</w:t>
            </w:r>
          </w:p>
        </w:tc>
        <w:tc>
          <w:tcPr>
            <w:tcW w:type="dxa" w:w="110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Вклад в рост ВВП, п.п.</w:t>
            </w:r>
          </w:p>
        </w:tc>
      </w:tr>
      <w:tr>
        <w:tc>
          <w:tcPr>
            <w:tcW w:type="dxa" w:w="35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 (республика)</w:t>
            </w:r>
          </w:p>
        </w:tc>
        <w:tc>
          <w:tcPr>
            <w:tcW w:type="dxa" w:w="10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423635,5</w:t>
            </w:r>
          </w:p>
        </w:tc>
        <w:tc>
          <w:tcPr>
            <w:tcW w:type="dxa" w:w="10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11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461527,1</w:t>
            </w:r>
          </w:p>
        </w:tc>
        <w:tc>
          <w:tcPr>
            <w:tcW w:type="dxa" w:w="11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11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1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r>
      <w:tr>
        <w:tc>
          <w:tcPr>
            <w:tcW w:type="dxa" w:w="35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10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17561,5</w:t>
            </w:r>
          </w:p>
        </w:tc>
        <w:tc>
          <w:tcPr>
            <w:tcW w:type="dxa" w:w="10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11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19121,5</w:t>
            </w:r>
          </w:p>
        </w:tc>
        <w:tc>
          <w:tcPr>
            <w:tcW w:type="dxa" w:w="11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11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11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0,09</w:t>
            </w:r>
          </w:p>
        </w:tc>
      </w:tr>
      <w:tr>
        <w:tc>
          <w:tcPr>
            <w:tcW w:type="dxa" w:w="35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10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48167,1</w:t>
            </w:r>
          </w:p>
        </w:tc>
        <w:tc>
          <w:tcPr>
            <w:tcW w:type="dxa" w:w="10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109,2</w:t>
            </w:r>
          </w:p>
        </w:tc>
        <w:tc>
          <w:tcPr>
            <w:tcW w:type="dxa" w:w="11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53227,6</w:t>
            </w:r>
          </w:p>
        </w:tc>
        <w:tc>
          <w:tcPr>
            <w:tcW w:type="dxa" w:w="11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c>
          <w:tcPr>
            <w:tcW w:type="dxa" w:w="11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w:t>
            </w:r>
          </w:p>
        </w:tc>
        <w:tc>
          <w:tcPr>
            <w:tcW w:type="dxa" w:w="11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0,59</w:t>
            </w:r>
          </w:p>
        </w:tc>
      </w:tr>
      <w:tr>
        <w:tc>
          <w:tcPr>
            <w:tcW w:type="dxa" w:w="35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10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52683,8</w:t>
            </w:r>
          </w:p>
        </w:tc>
        <w:tc>
          <w:tcPr>
            <w:tcW w:type="dxa" w:w="10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11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56856,6</w:t>
            </w:r>
          </w:p>
        </w:tc>
        <w:tc>
          <w:tcPr>
            <w:tcW w:type="dxa" w:w="11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11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w:t>
            </w:r>
          </w:p>
        </w:tc>
        <w:tc>
          <w:tcPr>
            <w:tcW w:type="dxa" w:w="11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0,40</w:t>
            </w:r>
          </w:p>
        </w:tc>
      </w:tr>
      <w:tr>
        <w:tc>
          <w:tcPr>
            <w:tcW w:type="dxa" w:w="35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10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11960,9</w:t>
            </w:r>
          </w:p>
        </w:tc>
        <w:tc>
          <w:tcPr>
            <w:tcW w:type="dxa" w:w="10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11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13164,0</w:t>
            </w:r>
          </w:p>
        </w:tc>
        <w:tc>
          <w:tcPr>
            <w:tcW w:type="dxa" w:w="11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11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11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w:t>
            </w:r>
          </w:p>
        </w:tc>
      </w:tr>
      <w:tr>
        <w:tc>
          <w:tcPr>
            <w:tcW w:type="dxa" w:w="35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10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32655,3</w:t>
            </w:r>
          </w:p>
        </w:tc>
        <w:tc>
          <w:tcPr>
            <w:tcW w:type="dxa" w:w="10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c>
          <w:tcPr>
            <w:tcW w:type="dxa" w:w="11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34938,0</w:t>
            </w:r>
          </w:p>
        </w:tc>
        <w:tc>
          <w:tcPr>
            <w:tcW w:type="dxa" w:w="11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1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w:t>
            </w:r>
          </w:p>
        </w:tc>
        <w:tc>
          <w:tcPr>
            <w:tcW w:type="dxa" w:w="11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0,15</w:t>
            </w:r>
          </w:p>
        </w:tc>
      </w:tr>
      <w:tr>
        <w:tc>
          <w:tcPr>
            <w:tcW w:type="dxa" w:w="35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10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13840,9</w:t>
            </w:r>
          </w:p>
        </w:tc>
        <w:tc>
          <w:tcPr>
            <w:tcW w:type="dxa" w:w="10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11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15065,1</w:t>
            </w:r>
          </w:p>
        </w:tc>
        <w:tc>
          <w:tcPr>
            <w:tcW w:type="dxa" w:w="11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11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11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w:t>
            </w:r>
          </w:p>
        </w:tc>
      </w:tr>
      <w:tr>
        <w:tc>
          <w:tcPr>
            <w:tcW w:type="dxa" w:w="35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10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66131,9</w:t>
            </w:r>
          </w:p>
        </w:tc>
        <w:tc>
          <w:tcPr>
            <w:tcW w:type="dxa" w:w="10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109,4</w:t>
            </w:r>
          </w:p>
        </w:tc>
        <w:tc>
          <w:tcPr>
            <w:tcW w:type="dxa" w:w="11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72895,0</w:t>
            </w:r>
          </w:p>
        </w:tc>
        <w:tc>
          <w:tcPr>
            <w:tcW w:type="dxa" w:w="11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11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15,8</w:t>
            </w:r>
          </w:p>
        </w:tc>
        <w:tc>
          <w:tcPr>
            <w:tcW w:type="dxa" w:w="11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0,70</w:t>
            </w:r>
          </w:p>
        </w:tc>
      </w:tr>
      <w:tr>
        <w:tc>
          <w:tcPr>
            <w:tcW w:type="dxa" w:w="35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Бишкек</w:t>
            </w:r>
          </w:p>
        </w:tc>
        <w:tc>
          <w:tcPr>
            <w:tcW w:type="dxa" w:w="10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157164,3</w:t>
            </w:r>
          </w:p>
        </w:tc>
        <w:tc>
          <w:tcPr>
            <w:tcW w:type="dxa" w:w="10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99,7</w:t>
            </w:r>
          </w:p>
        </w:tc>
        <w:tc>
          <w:tcPr>
            <w:tcW w:type="dxa" w:w="11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170526,5</w:t>
            </w:r>
          </w:p>
        </w:tc>
        <w:tc>
          <w:tcPr>
            <w:tcW w:type="dxa" w:w="11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c>
          <w:tcPr>
            <w:tcW w:type="dxa" w:w="11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36,9</w:t>
            </w:r>
          </w:p>
        </w:tc>
        <w:tc>
          <w:tcPr>
            <w:tcW w:type="dxa" w:w="11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0,70</w:t>
            </w:r>
          </w:p>
        </w:tc>
      </w:tr>
      <w:tr>
        <w:tc>
          <w:tcPr>
            <w:tcW w:type="dxa" w:w="35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Ош</w:t>
            </w:r>
          </w:p>
        </w:tc>
        <w:tc>
          <w:tcPr>
            <w:tcW w:type="dxa" w:w="10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23469,8</w:t>
            </w:r>
          </w:p>
        </w:tc>
        <w:tc>
          <w:tcPr>
            <w:tcW w:type="dxa" w:w="10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105,7</w:t>
            </w:r>
          </w:p>
        </w:tc>
        <w:tc>
          <w:tcPr>
            <w:tcW w:type="dxa" w:w="11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25732,8</w:t>
            </w:r>
          </w:p>
        </w:tc>
        <w:tc>
          <w:tcPr>
            <w:tcW w:type="dxa" w:w="11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11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w:t>
            </w:r>
          </w:p>
        </w:tc>
        <w:tc>
          <w:tcPr>
            <w:tcW w:type="dxa" w:w="11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0,20</w:t>
            </w:r>
          </w:p>
        </w:tc>
      </w:tr>
    </w:tbl>
    <w:p>
      <w:pPr>
        <w:spacing w:after="60" w:before="120"/>
        <w:ind w:firstLine="567"/>
        <w:jc w:val="both"/>
      </w:pPr>
      <w:r>
        <w:rPr>
          <w:rFonts w:ascii="Arial" w:cs="Arial" w:eastAsia="Arial" w:hAnsi="Arial"/>
          <w:sz w:val="24"/>
          <w:szCs w:val="24"/>
        </w:rPr>
        <w:t xml:space="preserve">Пессимистичный сценарий базируется на предположении более глубокого влияния на экономику трудностей в странах - торговых партнерах, также ожидается, что принимаемые Правительством Кыргызской Республики меры по стабилизации ситуации будут реализованы частично, ввиду недостаточного финансирования мероприятий и других причин.</w:t>
      </w:r>
    </w:p>
    <w:p>
      <w:pPr>
        <w:spacing w:after="60"/>
        <w:ind w:firstLine="567"/>
        <w:jc w:val="both"/>
      </w:pPr>
      <w:r>
        <w:rPr>
          <w:rFonts w:ascii="Arial" w:cs="Arial" w:eastAsia="Arial" w:hAnsi="Arial"/>
          <w:sz w:val="24"/>
          <w:szCs w:val="24"/>
        </w:rPr>
        <w:t xml:space="preserve">Условия, заложенные в пессимистичном сценарии развития, предполагают еще большее замедление экономического роста в стране, усиление инфляционных рисков, а также более значительное обесценение обменного курса по сравнению с базовым сценарием.</w:t>
      </w:r>
    </w:p>
    <w:p>
      <w:pPr>
        <w:spacing w:after="60"/>
        <w:ind w:firstLine="567"/>
        <w:jc w:val="both"/>
      </w:pPr>
      <w:r>
        <w:rPr>
          <w:rFonts w:ascii="Arial" w:cs="Arial" w:eastAsia="Arial" w:hAnsi="Arial"/>
          <w:sz w:val="24"/>
          <w:szCs w:val="24"/>
        </w:rPr>
        <w:t xml:space="preserve">В основу формирования ожидаемых показателей на 2016 год в пессимистичном сценарии заложены такие предпосылки, как:</w:t>
      </w:r>
    </w:p>
    <w:p>
      <w:pPr>
        <w:spacing w:after="60"/>
        <w:ind w:firstLine="567"/>
        <w:jc w:val="both"/>
      </w:pPr>
      <w:r>
        <w:rPr>
          <w:rFonts w:ascii="Arial" w:cs="Arial" w:eastAsia="Arial" w:hAnsi="Arial"/>
          <w:sz w:val="24"/>
          <w:szCs w:val="24"/>
        </w:rPr>
        <w:t xml:space="preserve">в сельском хозяйстве:</w:t>
      </w:r>
    </w:p>
    <w:p>
      <w:pPr>
        <w:spacing w:after="60"/>
        <w:ind w:firstLine="567"/>
        <w:jc w:val="both"/>
      </w:pPr>
      <w:r>
        <w:rPr>
          <w:rFonts w:ascii="Arial" w:cs="Arial" w:eastAsia="Arial" w:hAnsi="Arial"/>
          <w:sz w:val="24"/>
          <w:szCs w:val="24"/>
        </w:rPr>
        <w:t xml:space="preserve">- влияние природно-климатического фактора (засуха, отсутствие полива);</w:t>
      </w:r>
    </w:p>
    <w:p>
      <w:pPr>
        <w:spacing w:after="60"/>
        <w:ind w:firstLine="567"/>
        <w:jc w:val="both"/>
      </w:pPr>
      <w:r>
        <w:rPr>
          <w:rFonts w:ascii="Arial" w:cs="Arial" w:eastAsia="Arial" w:hAnsi="Arial"/>
          <w:sz w:val="24"/>
          <w:szCs w:val="24"/>
        </w:rPr>
        <w:t xml:space="preserve">- посевные площади сельскохозяйственных культур на уровне 2015 года и снижение урожайности за счет неблагоприятных природных факторов;</w:t>
      </w:r>
    </w:p>
    <w:p>
      <w:pPr>
        <w:spacing w:after="60"/>
        <w:ind w:firstLine="567"/>
        <w:jc w:val="both"/>
      </w:pPr>
      <w:r>
        <w:rPr>
          <w:rFonts w:ascii="Arial" w:cs="Arial" w:eastAsia="Arial" w:hAnsi="Arial"/>
          <w:sz w:val="24"/>
          <w:szCs w:val="24"/>
        </w:rPr>
        <w:t xml:space="preserve">- продолжение практики финансирования, не наблюдается эффект от использования направляемых льготных кредитных ресурсов;</w:t>
      </w:r>
    </w:p>
    <w:p>
      <w:pPr>
        <w:spacing w:after="60"/>
        <w:ind w:firstLine="567"/>
        <w:jc w:val="both"/>
      </w:pPr>
      <w:r>
        <w:rPr>
          <w:rFonts w:ascii="Arial" w:cs="Arial" w:eastAsia="Arial" w:hAnsi="Arial"/>
          <w:sz w:val="24"/>
          <w:szCs w:val="24"/>
        </w:rPr>
        <w:t xml:space="preserve">- неблагоприятная эпизоотическая ситуация;</w:t>
      </w:r>
    </w:p>
    <w:p>
      <w:pPr>
        <w:spacing w:after="60"/>
        <w:ind w:firstLine="567"/>
        <w:jc w:val="both"/>
      </w:pPr>
      <w:r>
        <w:rPr>
          <w:rFonts w:ascii="Arial" w:cs="Arial" w:eastAsia="Arial" w:hAnsi="Arial"/>
          <w:sz w:val="24"/>
          <w:szCs w:val="24"/>
        </w:rPr>
        <w:t xml:space="preserve">- дефицит минеральных удобрений; недостаточная обеспеченность семенами сельскохозяйственных культур; непредсказуемость цен на топливо и ГСМ;</w:t>
      </w:r>
    </w:p>
    <w:p>
      <w:pPr>
        <w:spacing w:after="60"/>
        <w:ind w:firstLine="567"/>
        <w:jc w:val="both"/>
      </w:pPr>
      <w:r>
        <w:rPr>
          <w:rFonts w:ascii="Arial" w:cs="Arial" w:eastAsia="Arial" w:hAnsi="Arial"/>
          <w:sz w:val="24"/>
          <w:szCs w:val="24"/>
        </w:rPr>
        <w:t xml:space="preserve">в промышленности:</w:t>
      </w:r>
    </w:p>
    <w:p>
      <w:pPr>
        <w:spacing w:after="60"/>
        <w:ind w:firstLine="567"/>
        <w:jc w:val="both"/>
      </w:pPr>
      <w:r>
        <w:rPr>
          <w:rFonts w:ascii="Arial" w:cs="Arial" w:eastAsia="Arial" w:hAnsi="Arial"/>
          <w:sz w:val="24"/>
          <w:szCs w:val="24"/>
        </w:rPr>
        <w:t xml:space="preserve">- стабильная работа предприятий по разработке месторождения Кумтор. В расчет принят нижний предел запланированных объемов закрытого акционерного общества "Кумтор Голд Компани" (14,9 т или 480 тыс. унций);</w:t>
      </w:r>
    </w:p>
    <w:p>
      <w:pPr>
        <w:spacing w:after="60"/>
        <w:ind w:firstLine="567"/>
        <w:jc w:val="both"/>
      </w:pPr>
      <w:r>
        <w:rPr>
          <w:rFonts w:ascii="Arial" w:cs="Arial" w:eastAsia="Arial" w:hAnsi="Arial"/>
          <w:sz w:val="24"/>
          <w:szCs w:val="24"/>
        </w:rPr>
        <w:t xml:space="preserve">- сохранение объемов производства золота на открытом акционерном обществе "Кыргызалтын" в 2016 году почти на уровне 2015 года;</w:t>
      </w:r>
    </w:p>
    <w:p>
      <w:pPr>
        <w:spacing w:after="60"/>
        <w:ind w:firstLine="567"/>
        <w:jc w:val="both"/>
      </w:pPr>
      <w:r>
        <w:rPr>
          <w:rFonts w:ascii="Arial" w:cs="Arial" w:eastAsia="Arial" w:hAnsi="Arial"/>
          <w:sz w:val="24"/>
          <w:szCs w:val="24"/>
        </w:rPr>
        <w:t xml:space="preserve">- объемы производства НПЗ "Джунда" на уровне 2015 года, запуск Токмокского НПЗ;</w:t>
      </w:r>
    </w:p>
    <w:p>
      <w:pPr>
        <w:spacing w:after="60"/>
        <w:ind w:firstLine="567"/>
        <w:jc w:val="both"/>
      </w:pPr>
      <w:r>
        <w:rPr>
          <w:rFonts w:ascii="Arial" w:cs="Arial" w:eastAsia="Arial" w:hAnsi="Arial"/>
          <w:sz w:val="24"/>
          <w:szCs w:val="24"/>
        </w:rPr>
        <w:t xml:space="preserve">- не обеспечены сырьем открытое акционерное общество "Кадамжайский сурьмяный комбинат", открытое акционерное общество "Кара-Балтинский горнорудный комбинат", производство простаивает;</w:t>
      </w:r>
    </w:p>
    <w:p>
      <w:pPr>
        <w:spacing w:after="60"/>
        <w:ind w:firstLine="567"/>
        <w:jc w:val="both"/>
      </w:pPr>
      <w:r>
        <w:rPr>
          <w:rFonts w:ascii="Arial" w:cs="Arial" w:eastAsia="Arial" w:hAnsi="Arial"/>
          <w:sz w:val="24"/>
          <w:szCs w:val="24"/>
        </w:rPr>
        <w:t xml:space="preserve">- сокращение объемов добычи сырой нефти за счет истощения запасов на разрабатываемых месторождениях;</w:t>
      </w:r>
    </w:p>
    <w:p>
      <w:pPr>
        <w:spacing w:after="60"/>
        <w:ind w:firstLine="567"/>
        <w:jc w:val="both"/>
      </w:pPr>
      <w:r>
        <w:rPr>
          <w:rFonts w:ascii="Arial" w:cs="Arial" w:eastAsia="Arial" w:hAnsi="Arial"/>
          <w:sz w:val="24"/>
          <w:szCs w:val="24"/>
        </w:rPr>
        <w:t xml:space="preserve">- объемы производства на месторождении Бозымчак (руды и концентраты золотосодержащие почти на уровне 2015 года) и запуск производства золота на месторождении Талды-Булак Левобережный;</w:t>
      </w:r>
    </w:p>
    <w:p>
      <w:pPr>
        <w:spacing w:after="60"/>
        <w:ind w:firstLine="567"/>
        <w:jc w:val="both"/>
      </w:pPr>
      <w:r>
        <w:rPr>
          <w:rFonts w:ascii="Arial" w:cs="Arial" w:eastAsia="Arial" w:hAnsi="Arial"/>
          <w:sz w:val="24"/>
          <w:szCs w:val="24"/>
        </w:rPr>
        <w:t xml:space="preserve">- объем производства листового стекла на открытом акционерном обществе "Интергласс" на уровне объемов 2015 года (15 млн. кв.м);</w:t>
      </w:r>
    </w:p>
    <w:p>
      <w:pPr>
        <w:spacing w:after="60"/>
        <w:ind w:firstLine="567"/>
        <w:jc w:val="both"/>
      </w:pPr>
      <w:r>
        <w:rPr>
          <w:rFonts w:ascii="Arial" w:cs="Arial" w:eastAsia="Arial" w:hAnsi="Arial"/>
          <w:sz w:val="24"/>
          <w:szCs w:val="24"/>
        </w:rPr>
        <w:t xml:space="preserve">- объемы текстильного и швейного производства в 2016 году на уровне объемов 2015 года;</w:t>
      </w:r>
    </w:p>
    <w:p>
      <w:pPr>
        <w:spacing w:after="60"/>
        <w:ind w:firstLine="567"/>
        <w:jc w:val="both"/>
      </w:pPr>
      <w:r>
        <w:rPr>
          <w:rFonts w:ascii="Arial" w:cs="Arial" w:eastAsia="Arial" w:hAnsi="Arial"/>
          <w:sz w:val="24"/>
          <w:szCs w:val="24"/>
        </w:rPr>
        <w:t xml:space="preserve">- объемы производства электроэнергии в 2016 году почти на уровне 2015 года (13000 млн. кВт. час);</w:t>
      </w:r>
    </w:p>
    <w:p>
      <w:pPr>
        <w:spacing w:after="60"/>
        <w:ind w:firstLine="567"/>
        <w:jc w:val="both"/>
      </w:pPr>
      <w:r>
        <w:rPr>
          <w:rFonts w:ascii="Arial" w:cs="Arial" w:eastAsia="Arial" w:hAnsi="Arial"/>
          <w:sz w:val="24"/>
          <w:szCs w:val="24"/>
        </w:rPr>
        <w:t xml:space="preserve">в строительстве:</w:t>
      </w:r>
    </w:p>
    <w:p>
      <w:pPr>
        <w:spacing w:after="60"/>
        <w:ind w:firstLine="567"/>
        <w:jc w:val="both"/>
      </w:pPr>
      <w:r>
        <w:rPr>
          <w:rFonts w:ascii="Arial" w:cs="Arial" w:eastAsia="Arial" w:hAnsi="Arial"/>
          <w:sz w:val="24"/>
          <w:szCs w:val="24"/>
        </w:rPr>
        <w:t xml:space="preserve">- завершение строительства, реконструкции объектов образования, пострадавших от стихийных бедствий и аварийных объектов, а также объектов высокой строительной готовности за счет средств, вырученных от реализации месторождения Джеруй в объеме 3,1 млрд. сомов;</w:t>
      </w:r>
    </w:p>
    <w:p>
      <w:pPr>
        <w:spacing w:after="60"/>
        <w:ind w:firstLine="567"/>
        <w:jc w:val="both"/>
      </w:pPr>
      <w:r>
        <w:rPr>
          <w:rFonts w:ascii="Arial" w:cs="Arial" w:eastAsia="Arial" w:hAnsi="Arial"/>
          <w:sz w:val="24"/>
          <w:szCs w:val="24"/>
        </w:rPr>
        <w:t xml:space="preserve">- сокращение объемов жилищного строительства за счет средств населения из-за продолжения снижения чистого притока денежных переводов физических лиц, осуществленных через системы переводов (в среднем в 2016 году - на 13%);</w:t>
      </w:r>
    </w:p>
    <w:p>
      <w:pPr>
        <w:spacing w:after="60"/>
        <w:ind w:firstLine="567"/>
        <w:jc w:val="both"/>
      </w:pPr>
      <w:r>
        <w:rPr>
          <w:rFonts w:ascii="Arial" w:cs="Arial" w:eastAsia="Arial" w:hAnsi="Arial"/>
          <w:sz w:val="24"/>
          <w:szCs w:val="24"/>
        </w:rPr>
        <w:t xml:space="preserve">- сокращение объемов капитальных вложений на предприятиях и организациях со стороны закрытого акционерного общества "Кумтор Голд компани" и открытых акционерных обществ "Кыргызалтын", "Газпром Кыргызстан" и др.;</w:t>
      </w:r>
    </w:p>
    <w:p>
      <w:pPr>
        <w:spacing w:after="60"/>
        <w:ind w:firstLine="567"/>
        <w:jc w:val="both"/>
      </w:pPr>
      <w:r>
        <w:rPr>
          <w:rFonts w:ascii="Arial" w:cs="Arial" w:eastAsia="Arial" w:hAnsi="Arial"/>
          <w:sz w:val="24"/>
          <w:szCs w:val="24"/>
        </w:rPr>
        <w:t xml:space="preserve">- приостановка финансирования части крупных инвестиционных проектов (Верхне-Нарынский каскад ГЭС, Камбаратинские ГЭС 1, 2);</w:t>
      </w:r>
    </w:p>
    <w:p>
      <w:pPr>
        <w:spacing w:after="60"/>
        <w:ind w:firstLine="567"/>
        <w:jc w:val="both"/>
      </w:pPr>
      <w:r>
        <w:rPr>
          <w:rFonts w:ascii="Arial" w:cs="Arial" w:eastAsia="Arial" w:hAnsi="Arial"/>
          <w:sz w:val="24"/>
          <w:szCs w:val="24"/>
        </w:rPr>
        <w:t xml:space="preserve">в сфере услуг:</w:t>
      </w:r>
    </w:p>
    <w:p>
      <w:pPr>
        <w:spacing w:after="60"/>
        <w:ind w:firstLine="567"/>
        <w:jc w:val="both"/>
      </w:pPr>
      <w:r>
        <w:rPr>
          <w:rFonts w:ascii="Arial" w:cs="Arial" w:eastAsia="Arial" w:hAnsi="Arial"/>
          <w:sz w:val="24"/>
          <w:szCs w:val="24"/>
        </w:rPr>
        <w:t xml:space="preserve">- сокращение объема импорта/реэкспорта и на этой основе замедление торговли;</w:t>
      </w:r>
    </w:p>
    <w:p>
      <w:pPr>
        <w:spacing w:after="60"/>
        <w:ind w:firstLine="567"/>
        <w:jc w:val="both"/>
      </w:pPr>
      <w:r>
        <w:rPr>
          <w:rFonts w:ascii="Arial" w:cs="Arial" w:eastAsia="Arial" w:hAnsi="Arial"/>
          <w:sz w:val="24"/>
          <w:szCs w:val="24"/>
        </w:rPr>
        <w:t xml:space="preserve">- продолжение снижения чистого притока денежных переводов физических лиц, осуществленных через системы переводов (в среднем на 13% в 2016 году);</w:t>
      </w:r>
    </w:p>
    <w:p>
      <w:pPr>
        <w:spacing w:after="60"/>
        <w:ind w:firstLine="567"/>
        <w:jc w:val="both"/>
      </w:pPr>
      <w:r>
        <w:rPr>
          <w:rFonts w:ascii="Arial" w:cs="Arial" w:eastAsia="Arial" w:hAnsi="Arial"/>
          <w:sz w:val="24"/>
          <w:szCs w:val="24"/>
        </w:rPr>
        <w:t xml:space="preserve">- внутренний спрос будет поддерживаться на потенциальном уровне, а темпы роста отраслей сферы услуг, задействованных в реэкспорте, замедлятся;</w:t>
      </w:r>
    </w:p>
    <w:p>
      <w:pPr>
        <w:spacing w:after="60"/>
        <w:ind w:firstLine="567"/>
        <w:jc w:val="both"/>
      </w:pPr>
      <w:r>
        <w:rPr>
          <w:rFonts w:ascii="Arial" w:cs="Arial" w:eastAsia="Arial" w:hAnsi="Arial"/>
          <w:sz w:val="24"/>
          <w:szCs w:val="24"/>
        </w:rPr>
        <w:t xml:space="preserve">- снижение показателей деятельности, связанных с реэкспортом товаров, и общее замедление экономической активности приведут к снижению спроса на транспортные услуги;</w:t>
      </w:r>
    </w:p>
    <w:p>
      <w:pPr>
        <w:spacing w:after="60"/>
        <w:ind w:firstLine="567"/>
        <w:jc w:val="both"/>
      </w:pPr>
      <w:r>
        <w:rPr>
          <w:rFonts w:ascii="Arial" w:cs="Arial" w:eastAsia="Arial" w:hAnsi="Arial"/>
          <w:sz w:val="24"/>
          <w:szCs w:val="24"/>
        </w:rPr>
        <w:t xml:space="preserve">- отрасль по оказанию услуг связи уже достигла той точки, при которой рынок достигает точки насыщения;</w:t>
      </w:r>
    </w:p>
    <w:p>
      <w:pPr>
        <w:spacing w:after="60"/>
        <w:ind w:firstLine="567"/>
        <w:jc w:val="both"/>
      </w:pPr>
      <w:r>
        <w:rPr>
          <w:rFonts w:ascii="Arial" w:cs="Arial" w:eastAsia="Arial" w:hAnsi="Arial"/>
          <w:sz w:val="24"/>
          <w:szCs w:val="24"/>
        </w:rPr>
        <w:t xml:space="preserve">- восходящий тренд уровня инфляции;</w:t>
      </w:r>
    </w:p>
    <w:p>
      <w:pPr>
        <w:spacing w:after="60"/>
        <w:ind w:firstLine="567"/>
        <w:jc w:val="both"/>
      </w:pPr>
      <w:r>
        <w:rPr>
          <w:rFonts w:ascii="Arial" w:cs="Arial" w:eastAsia="Arial" w:hAnsi="Arial"/>
          <w:sz w:val="24"/>
          <w:szCs w:val="24"/>
        </w:rPr>
        <w:t xml:space="preserve">- сокращение потребительского спроса.</w:t>
      </w:r>
    </w:p>
    <w:p>
      <w:pPr>
        <w:spacing w:after="60"/>
        <w:ind w:firstLine="567"/>
        <w:jc w:val="both"/>
      </w:pPr>
      <w:r>
        <w:rPr>
          <w:rFonts w:ascii="Arial" w:cs="Arial" w:eastAsia="Arial" w:hAnsi="Arial"/>
          <w:sz w:val="24"/>
          <w:szCs w:val="24"/>
        </w:rPr>
        <w:t xml:space="preserve">На основе учета влияющих факторов и предположений экономический рост в 2016 году ожидается на уровне 1,1%, а без учета предприятий по разработке месторождения Кумтор - на уровне 1,9%. Замедление темпа роста в 2016 году по сравнению с 2015 годом обусловлено сложившейся высокой базой в 2015 году в отдельных секторах: так рост в сельском хозяйстве ожидается всего на уровне 0,5%, после роста в 6,2% в 2015 году, а добыча полезных ископаемых - на уровне 5,3% после роста в 1,6 раза в 2015 году.</w:t>
      </w:r>
    </w:p>
    <w:p>
      <w:pPr>
        <w:spacing w:after="60"/>
        <w:ind w:firstLine="567"/>
        <w:jc w:val="both"/>
      </w:pPr>
      <w:r>
        <w:rPr>
          <w:rFonts w:ascii="Arial" w:cs="Arial" w:eastAsia="Arial" w:hAnsi="Arial"/>
          <w:sz w:val="24"/>
          <w:szCs w:val="24"/>
        </w:rPr>
        <w:t xml:space="preserve">Замедление экономической активности окажет понижательное влияние на секторы строительства и услуг. В результате чего рост в строительстве ожидается на уровне 6,5%, в торговле замедлится со 6,6% в 2015 году до 5,1% в 2016 году.</w:t>
      </w:r>
    </w:p>
    <w:p>
      <w:pPr>
        <w:spacing w:after="60"/>
        <w:ind w:firstLine="567"/>
        <w:jc w:val="both"/>
      </w:pPr>
      <w:r>
        <w:rPr>
          <w:rFonts w:ascii="Arial" w:cs="Arial" w:eastAsia="Arial" w:hAnsi="Arial"/>
          <w:sz w:val="24"/>
          <w:szCs w:val="24"/>
        </w:rPr>
        <w:t xml:space="preserve">Основные ожидаемые социально-экономические показатели в 2016 году могут сложиться следующим образом:</w:t>
      </w:r>
    </w:p>
    <w:p>
      <w:pPr>
        <w:spacing w:after="120" w:before="200"/>
        <w:jc w:val="left"/>
      </w:pPr>
      <w:r>
        <w:rPr>
          <w:rFonts w:ascii="Arial" w:cs="Arial" w:eastAsia="Arial" w:hAnsi="Arial"/>
          <w:b/>
          <w:bCs/>
          <w:sz w:val="24"/>
          <w:szCs w:val="24"/>
        </w:rPr>
        <w:t xml:space="preserve">Таблица 10. Структура и темпы роста по секторам, формирующим ВВП(12)
 (пессимистичный сценарий)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396"/>
        <w:gridCol w:w="1061"/>
        <w:gridCol w:w="1061"/>
        <w:gridCol w:w="1061"/>
        <w:gridCol w:w="1150"/>
        <w:gridCol w:w="1150"/>
        <w:gridCol w:w="1150"/>
        <w:gridCol w:w="1150"/>
      </w:tblGrid>
      <w:tr>
        <w:tc>
          <w:tcPr>
            <w:tcW w:type="dxa" w:w="2396"/>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83"/>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 предварительный факт</w:t>
            </w:r>
          </w:p>
        </w:tc>
        <w:tc>
          <w:tcPr>
            <w:tcW w:type="dxa" w:w="4600"/>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 ожидаемое</w:t>
            </w:r>
          </w:p>
        </w:tc>
      </w:tr>
      <w:tr>
        <w:tc>
          <w:tcPr>
            <w:vMerge w:val="continue"/>
            <w:tcBorders>
              <w:top w:val="single" w:color="CBBF9E" w:sz="4"/>
              <w:left w:val="single" w:color="CBBF9E" w:sz="4"/>
              <w:bottom w:val="single" w:color="CBBF9E" w:sz="4"/>
              <w:right w:val="single" w:color="CBBF9E" w:sz="4"/>
            </w:tcBorders>
          </w:tcPr>
          <w:p/>
        </w:tc>
        <w:tc>
          <w:tcPr>
            <w:tcW w:type="dxa" w:w="106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млн. сомов</w:t>
            </w:r>
          </w:p>
        </w:tc>
        <w:tc>
          <w:tcPr>
            <w:tcW w:type="dxa" w:w="106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Темп роста, %</w:t>
            </w:r>
          </w:p>
        </w:tc>
        <w:tc>
          <w:tcPr>
            <w:tcW w:type="dxa" w:w="106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 к ВВП</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млн. сомов</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Темп роста, %</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 к ВВП</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Доля вклада в рост ВВП, п.п.</w:t>
            </w:r>
          </w:p>
        </w:tc>
      </w:tr>
      <w:tr>
        <w:tc>
          <w:tcPr>
            <w:tcW w:type="dxa" w:w="23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w:t>
            </w:r>
          </w:p>
        </w:tc>
        <w:tc>
          <w:tcPr>
            <w:tcW w:type="dxa" w:w="10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423635,5</w:t>
            </w:r>
          </w:p>
        </w:tc>
        <w:tc>
          <w:tcPr>
            <w:tcW w:type="dxa" w:w="10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10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456113,6</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r>
      <w:tr>
        <w:tc>
          <w:tcPr>
            <w:tcW w:type="dxa" w:w="23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w:t>
            </w:r>
          </w:p>
        </w:tc>
        <w:tc>
          <w:tcPr>
            <w:tcW w:type="dxa" w:w="10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59395,6</w:t>
            </w:r>
          </w:p>
        </w:tc>
        <w:tc>
          <w:tcPr>
            <w:tcW w:type="dxa" w:w="10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w:t>
            </w:r>
          </w:p>
        </w:tc>
        <w:tc>
          <w:tcPr>
            <w:tcW w:type="dxa" w:w="10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63811,4</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0,07</w:t>
            </w:r>
          </w:p>
        </w:tc>
      </w:tr>
      <w:tr>
        <w:tc>
          <w:tcPr>
            <w:tcW w:type="dxa" w:w="23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w:t>
            </w:r>
          </w:p>
        </w:tc>
        <w:tc>
          <w:tcPr>
            <w:tcW w:type="dxa" w:w="10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64959,7</w:t>
            </w:r>
          </w:p>
        </w:tc>
        <w:tc>
          <w:tcPr>
            <w:tcW w:type="dxa" w:w="10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95,8</w:t>
            </w:r>
          </w:p>
        </w:tc>
        <w:tc>
          <w:tcPr>
            <w:tcW w:type="dxa" w:w="10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15,3</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63891,5</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96,5</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-0,54</w:t>
            </w:r>
          </w:p>
        </w:tc>
      </w:tr>
      <w:tr>
        <w:tc>
          <w:tcPr>
            <w:tcW w:type="dxa" w:w="23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10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35322,9</w:t>
            </w:r>
          </w:p>
        </w:tc>
        <w:tc>
          <w:tcPr>
            <w:tcW w:type="dxa" w:w="10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113,9</w:t>
            </w:r>
          </w:p>
        </w:tc>
        <w:tc>
          <w:tcPr>
            <w:tcW w:type="dxa" w:w="10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39838,4</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0,54</w:t>
            </w:r>
          </w:p>
        </w:tc>
      </w:tr>
      <w:tr>
        <w:tc>
          <w:tcPr>
            <w:tcW w:type="dxa" w:w="23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Сфера услуг</w:t>
            </w:r>
          </w:p>
        </w:tc>
        <w:tc>
          <w:tcPr>
            <w:tcW w:type="dxa" w:w="10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212901,9</w:t>
            </w:r>
          </w:p>
        </w:tc>
        <w:tc>
          <w:tcPr>
            <w:tcW w:type="dxa" w:w="10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10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50,3</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233461,1</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51,2</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0,89</w:t>
            </w:r>
          </w:p>
        </w:tc>
      </w:tr>
      <w:tr>
        <w:tc>
          <w:tcPr>
            <w:tcW w:type="dxa" w:w="23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Чистые налоги на продуты и импорт</w:t>
            </w:r>
          </w:p>
        </w:tc>
        <w:tc>
          <w:tcPr>
            <w:tcW w:type="dxa" w:w="10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51055,4</w:t>
            </w:r>
          </w:p>
        </w:tc>
        <w:tc>
          <w:tcPr>
            <w:tcW w:type="dxa" w:w="10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10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55111,2</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0,14</w:t>
            </w:r>
          </w:p>
        </w:tc>
      </w:tr>
    </w:tbl>
    <w:p>
      <w:pPr>
        <w:spacing w:after="60" w:before="120"/>
        <w:ind w:firstLine="567"/>
        <w:jc w:val="both"/>
      </w:pPr>
      <w:r>
        <w:rPr>
          <w:rFonts w:ascii="Arial" w:cs="Arial" w:eastAsia="Arial" w:hAnsi="Arial"/>
          <w:sz w:val="24"/>
          <w:szCs w:val="24"/>
        </w:rPr>
        <w:t xml:space="preserve">В региональном разрезе в пессимистичном сценарии основная доля производства ВВП в 2016 году будет обеспечиваться за счет функционирования экономик города Бишкек, Чуйской, Иссык-Кульской и Джалал-Абадской областей, с удельным весом 76,4%, суммарный вклад в </w:t>
      </w:r>
      <w:r>
        <w:rPr>
          <w:rFonts w:ascii="Arial" w:cs="Arial" w:eastAsia="Arial" w:hAnsi="Arial"/>
          <w:sz w:val="24"/>
          <w:szCs w:val="24"/>
        </w:rPr>
        <w:t xml:space="preserve">рост ВВП которых в ВВП республики составит 0,75 п.п. Значительные доли в общем объеме производства ВВП Джалал-Абадской (11,5%) и Иссык-Кульской (12,3%) областей связаны с тем, что на территории Джалал-Абадской области производится около 90% вырабатываемой в республике электроэнергии, а на территории Иссык-Кульской области расположены предприятия по разработке месторождения Кумтор.</w:t>
      </w:r>
    </w:p>
    <w:p>
      <w:pPr>
        <w:spacing w:after="60"/>
        <w:ind w:firstLine="567"/>
        <w:jc w:val="both"/>
      </w:pPr>
      <w:r>
        <w:rPr>
          <w:rFonts w:ascii="Arial" w:cs="Arial" w:eastAsia="Arial" w:hAnsi="Arial"/>
          <w:sz w:val="24"/>
          <w:szCs w:val="24"/>
        </w:rPr>
        <w:t xml:space="preserve">Оставшаяся часть доли будет распределяться между другими областями с наименьшим удельным весом на уровне 23,6% - Ошской, Баткенской, Нарынской, Таласской и городом Ош.</w:t>
      </w:r>
    </w:p>
    <w:p>
      <w:pPr>
        <w:spacing w:after="120" w:before="200"/>
        <w:ind w:firstLine="567"/>
        <w:jc w:val="left"/>
      </w:pPr>
      <w:r>
        <w:rPr>
          <w:rFonts w:ascii="Arial" w:cs="Arial" w:eastAsia="Arial" w:hAnsi="Arial"/>
          <w:b/>
          <w:bCs/>
          <w:sz w:val="24"/>
          <w:szCs w:val="24"/>
        </w:rPr>
        <w:t xml:space="preserve">Таблица 11. Вклады регионов в производство ВВП</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96"/>
        <w:gridCol w:w="1310"/>
        <w:gridCol w:w="1310"/>
        <w:gridCol w:w="1340"/>
        <w:gridCol w:w="1340"/>
        <w:gridCol w:w="1340"/>
        <w:gridCol w:w="1340"/>
      </w:tblGrid>
      <w:tr>
        <w:tc>
          <w:tcPr>
            <w:tcW w:type="dxa" w:w="2196"/>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Показатели</w:t>
            </w:r>
          </w:p>
        </w:tc>
        <w:tc>
          <w:tcPr>
            <w:tcW w:type="dxa" w:w="262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 оценка</w:t>
            </w:r>
          </w:p>
        </w:tc>
        <w:tc>
          <w:tcPr>
            <w:tcW w:type="dxa" w:w="5360"/>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 ожидаемое</w:t>
            </w:r>
          </w:p>
        </w:tc>
      </w:tr>
      <w:tr>
        <w:tc>
          <w:tcPr>
            <w:vMerge w:val="continue"/>
            <w:tcBorders>
              <w:top w:val="single" w:color="CBBF9E" w:sz="4"/>
              <w:left w:val="single" w:color="CBBF9E" w:sz="4"/>
              <w:bottom w:val="single" w:color="CBBF9E" w:sz="4"/>
              <w:right w:val="single" w:color="CBBF9E" w:sz="4"/>
            </w:tcBorders>
          </w:tcPr>
          <w:p/>
        </w:tc>
        <w:tc>
          <w:tcPr>
            <w:tcW w:type="dxa" w:w="13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млн. сомов</w:t>
            </w:r>
          </w:p>
        </w:tc>
        <w:tc>
          <w:tcPr>
            <w:tcW w:type="dxa" w:w="13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Темп роста, %</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млн. сомов</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Темп роста, %</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 к ВВП</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Вклад в рост ВВП, п.п.</w:t>
            </w:r>
          </w:p>
        </w:tc>
      </w:tr>
      <w:tr>
        <w:tc>
          <w:tcPr>
            <w:tcW w:type="dxa" w:w="21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 (республика)</w:t>
            </w:r>
          </w:p>
        </w:tc>
        <w:tc>
          <w:tcPr>
            <w:tcW w:type="dxa" w:w="13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423635,5</w:t>
            </w:r>
          </w:p>
        </w:tc>
        <w:tc>
          <w:tcPr>
            <w:tcW w:type="dxa" w:w="13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456113,6</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r>
      <w:tr>
        <w:tc>
          <w:tcPr>
            <w:tcW w:type="dxa" w:w="21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13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17561,5</w:t>
            </w:r>
          </w:p>
        </w:tc>
        <w:tc>
          <w:tcPr>
            <w:tcW w:type="dxa" w:w="13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18750,4</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r>
      <w:tr>
        <w:tc>
          <w:tcPr>
            <w:tcW w:type="dxa" w:w="21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13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48167,1</w:t>
            </w:r>
          </w:p>
        </w:tc>
        <w:tc>
          <w:tcPr>
            <w:tcW w:type="dxa" w:w="13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109,2</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52724,0</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0,39</w:t>
            </w:r>
          </w:p>
        </w:tc>
      </w:tr>
      <w:tr>
        <w:tc>
          <w:tcPr>
            <w:tcW w:type="dxa" w:w="21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13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52683,8</w:t>
            </w:r>
          </w:p>
        </w:tc>
        <w:tc>
          <w:tcPr>
            <w:tcW w:type="dxa" w:w="13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55921,9</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0,14</w:t>
            </w:r>
          </w:p>
        </w:tc>
      </w:tr>
      <w:tr>
        <w:tc>
          <w:tcPr>
            <w:tcW w:type="dxa" w:w="21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13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11960,9</w:t>
            </w:r>
          </w:p>
        </w:tc>
        <w:tc>
          <w:tcPr>
            <w:tcW w:type="dxa" w:w="13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13091,0</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0,07</w:t>
            </w:r>
          </w:p>
        </w:tc>
      </w:tr>
      <w:tr>
        <w:tc>
          <w:tcPr>
            <w:tcW w:type="dxa" w:w="21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13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32655,3</w:t>
            </w:r>
          </w:p>
        </w:tc>
        <w:tc>
          <w:tcPr>
            <w:tcW w:type="dxa" w:w="13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35197,2</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0,13</w:t>
            </w:r>
          </w:p>
        </w:tc>
      </w:tr>
      <w:tr>
        <w:tc>
          <w:tcPr>
            <w:tcW w:type="dxa" w:w="21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13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13840,9</w:t>
            </w:r>
          </w:p>
        </w:tc>
        <w:tc>
          <w:tcPr>
            <w:tcW w:type="dxa" w:w="13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14923,3</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w:t>
            </w:r>
          </w:p>
        </w:tc>
      </w:tr>
      <w:tr>
        <w:tc>
          <w:tcPr>
            <w:tcW w:type="dxa" w:w="21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13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66131,9</w:t>
            </w:r>
          </w:p>
        </w:tc>
        <w:tc>
          <w:tcPr>
            <w:tcW w:type="dxa" w:w="13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109,4</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72102,1</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15,8</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0,41</w:t>
            </w:r>
          </w:p>
        </w:tc>
      </w:tr>
      <w:tr>
        <w:tc>
          <w:tcPr>
            <w:tcW w:type="dxa" w:w="21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Бишкек</w:t>
            </w:r>
          </w:p>
        </w:tc>
        <w:tc>
          <w:tcPr>
            <w:tcW w:type="dxa" w:w="13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157164,3</w:t>
            </w:r>
          </w:p>
        </w:tc>
        <w:tc>
          <w:tcPr>
            <w:tcW w:type="dxa" w:w="13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99,7</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167906,3</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99,5</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36,8</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-0,19</w:t>
            </w:r>
          </w:p>
        </w:tc>
      </w:tr>
      <w:tr>
        <w:tc>
          <w:tcPr>
            <w:tcW w:type="dxa" w:w="21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Ош</w:t>
            </w:r>
          </w:p>
        </w:tc>
        <w:tc>
          <w:tcPr>
            <w:tcW w:type="dxa" w:w="13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23469,8</w:t>
            </w:r>
          </w:p>
        </w:tc>
        <w:tc>
          <w:tcPr>
            <w:tcW w:type="dxa" w:w="13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105,7</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25497,4</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w:t>
            </w:r>
          </w:p>
        </w:tc>
        <w:tc>
          <w:tcPr>
            <w:tcW w:type="dxa" w:w="13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0,12</w:t>
            </w:r>
          </w:p>
        </w:tc>
      </w:tr>
    </w:tbl>
    <w:p>
      <w:pPr>
        <w:spacing w:after="200" w:before="200"/>
        <w:jc w:val="center"/>
      </w:pPr>
      <w:r>
        <w:rPr>
          <w:rFonts w:ascii="Arial" w:cs="Arial" w:eastAsia="Arial" w:hAnsi="Arial"/>
          <w:b/>
          <w:bCs/>
          <w:sz w:val="24"/>
          <w:szCs w:val="24"/>
        </w:rPr>
        <w:t xml:space="preserve">6. Макроэкономический прогноз на 2017-2019 годы</w:t>
      </w:r>
    </w:p>
    <w:p>
      <w:pPr>
        <w:spacing w:after="60"/>
        <w:ind w:firstLine="567"/>
        <w:jc w:val="both"/>
      </w:pPr>
      <w:r>
        <w:rPr>
          <w:rFonts w:ascii="Arial" w:cs="Arial" w:eastAsia="Arial" w:hAnsi="Arial"/>
          <w:sz w:val="24"/>
          <w:szCs w:val="24"/>
        </w:rPr>
        <w:t xml:space="preserve">Главной целью макроэкономической политики в 2017-2019 годы является обеспечение макроэкономической стабильности для устойчивого развития. Целевые макроэкономические показатели будут достигаться через продолжение реализации крупных национальных проектов, эффективное управление государственными активами страны, реформирование системы государственного регулирования для стимулирования всех отраслей экономики.</w:t>
      </w:r>
    </w:p>
    <w:p>
      <w:pPr>
        <w:spacing w:after="60"/>
        <w:ind w:firstLine="567"/>
        <w:jc w:val="both"/>
      </w:pPr>
      <w:r>
        <w:rPr>
          <w:rFonts w:ascii="Arial" w:cs="Arial" w:eastAsia="Arial" w:hAnsi="Arial"/>
          <w:sz w:val="24"/>
          <w:szCs w:val="24"/>
        </w:rPr>
        <w:t xml:space="preserve">Для этого ключевыми направлениями экономической политики на среднесрочную перспективу будут:</w:t>
      </w:r>
    </w:p>
    <w:p>
      <w:pPr>
        <w:spacing w:after="60"/>
        <w:ind w:firstLine="567"/>
        <w:jc w:val="both"/>
      </w:pPr>
      <w:r>
        <w:rPr>
          <w:rFonts w:ascii="Arial" w:cs="Arial" w:eastAsia="Arial" w:hAnsi="Arial"/>
          <w:sz w:val="24"/>
          <w:szCs w:val="24"/>
        </w:rPr>
        <w:t xml:space="preserve">- достижение и сохранение макроэкономической стабильности через сокращение бюджетного дефицита, внешнего долга и инфляции;</w:t>
      </w:r>
    </w:p>
    <w:p>
      <w:pPr>
        <w:spacing w:after="60"/>
        <w:ind w:firstLine="567"/>
        <w:jc w:val="both"/>
      </w:pPr>
      <w:r>
        <w:rPr>
          <w:rFonts w:ascii="Arial" w:cs="Arial" w:eastAsia="Arial" w:hAnsi="Arial"/>
          <w:sz w:val="24"/>
          <w:szCs w:val="24"/>
        </w:rPr>
        <w:t xml:space="preserve">- стимулирование экономического роста через улучшение бизнес-среды и инвестиционного климата, интегрирование экономики в региональную экономическую систему, а также реализацию структурных реформ для развития отраслей экономики;</w:t>
      </w:r>
    </w:p>
    <w:p>
      <w:pPr>
        <w:spacing w:after="60"/>
        <w:ind w:firstLine="567"/>
        <w:jc w:val="both"/>
      </w:pPr>
      <w:r>
        <w:rPr>
          <w:rFonts w:ascii="Arial" w:cs="Arial" w:eastAsia="Arial" w:hAnsi="Arial"/>
          <w:sz w:val="24"/>
          <w:szCs w:val="24"/>
        </w:rPr>
        <w:t xml:space="preserve">- обеспечение продовольственной безопасности через повышение объема внутреннего производства и производительности в сельском хозяйстве, а также создание государственных резервов в достаточном объеме;</w:t>
      </w:r>
    </w:p>
    <w:p>
      <w:pPr>
        <w:spacing w:after="60"/>
        <w:ind w:firstLine="567"/>
        <w:jc w:val="both"/>
      </w:pPr>
      <w:r>
        <w:rPr>
          <w:rFonts w:ascii="Arial" w:cs="Arial" w:eastAsia="Arial" w:hAnsi="Arial"/>
          <w:sz w:val="24"/>
          <w:szCs w:val="24"/>
        </w:rPr>
        <w:t xml:space="preserve">- проведение среднесрочной бюджетной политики, направленной на опережающий рост доходной части консолидированного бюджета по сравнению с расходной частью, что приведет к заметному снижению дефицита бюджета (с учетом бюджета Социального фонда Кыргызской Республики) через улучшение налогового и таможенного администрирования, увеличение налогооблагаемой базы, способствующих обеспечению устойчивых и стабильных доходов бюджета;</w:t>
      </w:r>
    </w:p>
    <w:p>
      <w:pPr>
        <w:spacing w:after="60"/>
        <w:ind w:firstLine="567"/>
        <w:jc w:val="both"/>
      </w:pPr>
      <w:r>
        <w:rPr>
          <w:rFonts w:ascii="Arial" w:cs="Arial" w:eastAsia="Arial" w:hAnsi="Arial"/>
          <w:sz w:val="24"/>
          <w:szCs w:val="24"/>
        </w:rPr>
        <w:t xml:space="preserve">- проведение политики государственных расходов, сфокусированной на проектах развития;</w:t>
      </w:r>
    </w:p>
    <w:p>
      <w:pPr>
        <w:spacing w:after="60"/>
        <w:ind w:firstLine="567"/>
        <w:jc w:val="both"/>
      </w:pPr>
      <w:r>
        <w:rPr>
          <w:rFonts w:ascii="Arial" w:cs="Arial" w:eastAsia="Arial" w:hAnsi="Arial"/>
          <w:sz w:val="24"/>
          <w:szCs w:val="24"/>
        </w:rPr>
        <w:t xml:space="preserve">- формирование оптимизированной структуры государственного долга;</w:t>
      </w:r>
    </w:p>
    <w:p>
      <w:pPr>
        <w:spacing w:after="60"/>
        <w:ind w:firstLine="567"/>
        <w:jc w:val="both"/>
      </w:pPr>
      <w:r>
        <w:rPr>
          <w:rFonts w:ascii="Arial" w:cs="Arial" w:eastAsia="Arial" w:hAnsi="Arial"/>
          <w:sz w:val="24"/>
          <w:szCs w:val="24"/>
        </w:rPr>
        <w:t xml:space="preserve">- построение эффективной системы управления государственным имуществом, соответствующей критериям экономической и социальной эффективности;</w:t>
      </w:r>
    </w:p>
    <w:p>
      <w:pPr>
        <w:spacing w:after="60"/>
        <w:ind w:firstLine="567"/>
        <w:jc w:val="both"/>
      </w:pPr>
      <w:r>
        <w:rPr>
          <w:rFonts w:ascii="Arial" w:cs="Arial" w:eastAsia="Arial" w:hAnsi="Arial"/>
          <w:sz w:val="24"/>
          <w:szCs w:val="24"/>
        </w:rPr>
        <w:t xml:space="preserve">- формирование устойчивой и эффективной системы финансово-кредитных учреждений, способной эффективно мобилизовать финансовые ресурсы и удовлетворять потребности населения и предпринимателей в долгосрочных и доступных кредитах;</w:t>
      </w:r>
    </w:p>
    <w:p>
      <w:pPr>
        <w:spacing w:after="60"/>
        <w:ind w:firstLine="567"/>
        <w:jc w:val="both"/>
      </w:pPr>
      <w:r>
        <w:rPr>
          <w:rFonts w:ascii="Arial" w:cs="Arial" w:eastAsia="Arial" w:hAnsi="Arial"/>
          <w:sz w:val="24"/>
          <w:szCs w:val="24"/>
        </w:rPr>
        <w:t xml:space="preserve">- создание системы защиты интеллектуальной собственности и инновационной деятельности для развития экономики и повышения ее конкурентоспособности;</w:t>
      </w:r>
    </w:p>
    <w:p>
      <w:pPr>
        <w:spacing w:after="60"/>
        <w:ind w:firstLine="567"/>
        <w:jc w:val="both"/>
      </w:pPr>
      <w:r>
        <w:rPr>
          <w:rFonts w:ascii="Arial" w:cs="Arial" w:eastAsia="Arial" w:hAnsi="Arial"/>
          <w:sz w:val="24"/>
          <w:szCs w:val="24"/>
        </w:rPr>
        <w:t xml:space="preserve">- повышение качества социальных услуг посредством принятия конкретных мер и осуществления мероприятий, направленных на жизнеобеспечение населения.</w:t>
      </w:r>
    </w:p>
    <w:p>
      <w:pPr>
        <w:spacing w:after="60"/>
        <w:ind w:firstLine="567"/>
        <w:jc w:val="both"/>
      </w:pPr>
      <w:r>
        <w:rPr>
          <w:rFonts w:ascii="Arial" w:cs="Arial" w:eastAsia="Arial" w:hAnsi="Arial"/>
          <w:sz w:val="24"/>
          <w:szCs w:val="24"/>
        </w:rPr>
        <w:t xml:space="preserve">Макроэкономическая стабильность будет обеспечена за счет скоординированной денежно-кредитной, налогово-бюджетной и инвестиционной политики, направленной на развитие реального сектора и обеспечение социальных обязательств.</w:t>
      </w:r>
    </w:p>
    <w:p>
      <w:pPr>
        <w:spacing w:after="60"/>
        <w:ind w:firstLine="567"/>
        <w:jc w:val="both"/>
      </w:pPr>
      <w:r>
        <w:rPr>
          <w:rFonts w:ascii="Arial" w:cs="Arial" w:eastAsia="Arial" w:hAnsi="Arial"/>
          <w:sz w:val="24"/>
          <w:szCs w:val="24"/>
        </w:rPr>
        <w:t xml:space="preserve">При оценке среднесрочных макроэкономических показателей были учтены следующие факторы:</w:t>
      </w:r>
    </w:p>
    <w:p>
      <w:pPr>
        <w:spacing w:after="60"/>
        <w:ind w:firstLine="567"/>
        <w:jc w:val="both"/>
      </w:pPr>
      <w:r>
        <w:rPr>
          <w:rFonts w:ascii="Arial" w:cs="Arial" w:eastAsia="Arial" w:hAnsi="Arial"/>
          <w:sz w:val="24"/>
          <w:szCs w:val="24"/>
        </w:rPr>
        <w:t xml:space="preserve">- социально-политическая стабильность в стране;</w:t>
      </w:r>
    </w:p>
    <w:p>
      <w:pPr>
        <w:spacing w:after="60"/>
        <w:ind w:firstLine="567"/>
        <w:jc w:val="both"/>
      </w:pPr>
      <w:r>
        <w:rPr>
          <w:rFonts w:ascii="Arial" w:cs="Arial" w:eastAsia="Arial" w:hAnsi="Arial"/>
          <w:sz w:val="24"/>
          <w:szCs w:val="24"/>
        </w:rPr>
        <w:t xml:space="preserve">- прогнозируемое постепенное оздоровление мировой экономики (в среднем рост на 3,4%), еврозоны (на 1,6%), прогнозируемый экономический рост в среднем в соседних государствах - Российской Федерации (на 1,4%), Республике Казахстан (на 3,6%), Китайской Народной Республике (на 6,4%);</w:t>
      </w:r>
    </w:p>
    <w:p>
      <w:pPr>
        <w:spacing w:after="60"/>
        <w:ind w:firstLine="567"/>
        <w:jc w:val="both"/>
      </w:pPr>
      <w:r>
        <w:rPr>
          <w:rFonts w:ascii="Arial" w:cs="Arial" w:eastAsia="Arial" w:hAnsi="Arial"/>
          <w:sz w:val="24"/>
          <w:szCs w:val="24"/>
        </w:rPr>
        <w:t xml:space="preserve">- активное использование членства Кыргызской Республики в ВТО и углубление сотрудничества с международными экономическими и финансовыми организациями;</w:t>
      </w:r>
    </w:p>
    <w:p>
      <w:pPr>
        <w:spacing w:after="60"/>
        <w:ind w:firstLine="567"/>
        <w:jc w:val="both"/>
      </w:pPr>
      <w:r>
        <w:rPr>
          <w:rFonts w:ascii="Arial" w:cs="Arial" w:eastAsia="Arial" w:hAnsi="Arial"/>
          <w:sz w:val="24"/>
          <w:szCs w:val="24"/>
        </w:rPr>
        <w:t xml:space="preserve">- развитие экспортных операций и приоритетных секторов с высоким экспортным потенциалом на основе реализации Плана Правительства Кыргызской Республики по развитию экспорта Кыргызской Республики на 2015-2017 годы (постановление Правительства Кыргызской Республики от 31 марта 2015 года № 174);</w:t>
      </w:r>
    </w:p>
    <w:p>
      <w:pPr>
        <w:spacing w:after="60"/>
        <w:ind w:firstLine="567"/>
        <w:jc w:val="both"/>
      </w:pPr>
      <w:r>
        <w:rPr>
          <w:rFonts w:ascii="Arial" w:cs="Arial" w:eastAsia="Arial" w:hAnsi="Arial"/>
          <w:sz w:val="24"/>
          <w:szCs w:val="24"/>
        </w:rPr>
        <w:t xml:space="preserve">- повышение привлекательности бизнес-среды и рост деловой активности хозяйствующих субъектов на фоне улучшения инвестиционного климата;</w:t>
      </w:r>
    </w:p>
    <w:p>
      <w:pPr>
        <w:spacing w:after="60"/>
        <w:ind w:firstLine="567"/>
        <w:jc w:val="both"/>
      </w:pPr>
      <w:r>
        <w:rPr>
          <w:rFonts w:ascii="Arial" w:cs="Arial" w:eastAsia="Arial" w:hAnsi="Arial"/>
          <w:sz w:val="24"/>
          <w:szCs w:val="24"/>
        </w:rPr>
        <w:t xml:space="preserve">- реализация крупных инвестиционных проектов;</w:t>
      </w:r>
    </w:p>
    <w:p>
      <w:pPr>
        <w:spacing w:after="60"/>
        <w:ind w:firstLine="567"/>
        <w:jc w:val="both"/>
      </w:pPr>
      <w:r>
        <w:rPr>
          <w:rFonts w:ascii="Arial" w:cs="Arial" w:eastAsia="Arial" w:hAnsi="Arial"/>
          <w:sz w:val="24"/>
          <w:szCs w:val="24"/>
        </w:rPr>
        <w:t xml:space="preserve">- повышение конкурентоспособности отечественных производителей на рынках государств - членов ЕАЭС;</w:t>
      </w:r>
    </w:p>
    <w:p>
      <w:pPr>
        <w:spacing w:after="60"/>
        <w:ind w:firstLine="567"/>
        <w:jc w:val="both"/>
      </w:pPr>
      <w:r>
        <w:rPr>
          <w:rFonts w:ascii="Arial" w:cs="Arial" w:eastAsia="Arial" w:hAnsi="Arial"/>
          <w:sz w:val="24"/>
          <w:szCs w:val="24"/>
        </w:rPr>
        <w:t xml:space="preserve">- ежегодное предоставление льготных кредитов сельскохозяйственным производителям, что приведет к развитию аграрного сектора и перерабатывающей промышленности;</w:t>
      </w:r>
    </w:p>
    <w:p>
      <w:pPr>
        <w:spacing w:after="60"/>
        <w:ind w:firstLine="567"/>
        <w:jc w:val="both"/>
      </w:pPr>
      <w:r>
        <w:rPr>
          <w:rFonts w:ascii="Arial" w:cs="Arial" w:eastAsia="Arial" w:hAnsi="Arial"/>
          <w:sz w:val="24"/>
          <w:szCs w:val="24"/>
        </w:rPr>
        <w:t xml:space="preserve">- умеренный рост сферы услуг.</w:t>
      </w:r>
    </w:p>
    <w:p>
      <w:pPr>
        <w:spacing w:after="60"/>
        <w:ind w:firstLine="567"/>
        <w:jc w:val="both"/>
      </w:pPr>
      <w:r>
        <w:rPr>
          <w:rFonts w:ascii="Arial" w:cs="Arial" w:eastAsia="Arial" w:hAnsi="Arial"/>
          <w:sz w:val="24"/>
          <w:szCs w:val="24"/>
        </w:rPr>
        <w:t xml:space="preserve">К основным рискам, которые могут оказать воздействие на макроэкономическую ситуацию в республике, относятся следующие:</w:t>
      </w:r>
    </w:p>
    <w:p>
      <w:pPr>
        <w:spacing w:after="60"/>
        <w:ind w:firstLine="567"/>
        <w:jc w:val="both"/>
      </w:pPr>
      <w:r>
        <w:rPr>
          <w:rFonts w:ascii="Arial" w:cs="Arial" w:eastAsia="Arial" w:hAnsi="Arial"/>
          <w:sz w:val="24"/>
          <w:szCs w:val="24"/>
        </w:rPr>
        <w:t xml:space="preserve">- зависимость экономики страны от мировых цен на золото, энергоносители и другие сырьевые ресурсы;</w:t>
      </w:r>
    </w:p>
    <w:p>
      <w:pPr>
        <w:spacing w:after="60"/>
        <w:ind w:firstLine="567"/>
        <w:jc w:val="both"/>
      </w:pPr>
      <w:r>
        <w:rPr>
          <w:rFonts w:ascii="Arial" w:cs="Arial" w:eastAsia="Arial" w:hAnsi="Arial"/>
          <w:sz w:val="24"/>
          <w:szCs w:val="24"/>
        </w:rPr>
        <w:t xml:space="preserve">- сохранение неустойчивости мировой экономики;</w:t>
      </w:r>
    </w:p>
    <w:p>
      <w:pPr>
        <w:spacing w:after="60"/>
        <w:ind w:firstLine="567"/>
        <w:jc w:val="both"/>
      </w:pPr>
      <w:r>
        <w:rPr>
          <w:rFonts w:ascii="Arial" w:cs="Arial" w:eastAsia="Arial" w:hAnsi="Arial"/>
          <w:sz w:val="24"/>
          <w:szCs w:val="24"/>
        </w:rPr>
        <w:t xml:space="preserve">- открытость экономики, в значительной степени подверженной влиянию внешних шоков;</w:t>
      </w:r>
    </w:p>
    <w:p>
      <w:pPr>
        <w:spacing w:after="60"/>
        <w:ind w:firstLine="567"/>
        <w:jc w:val="both"/>
      </w:pPr>
      <w:r>
        <w:rPr>
          <w:rFonts w:ascii="Arial" w:cs="Arial" w:eastAsia="Arial" w:hAnsi="Arial"/>
          <w:sz w:val="24"/>
          <w:szCs w:val="24"/>
        </w:rPr>
        <w:t xml:space="preserve">- зависимость внутреннего рынка от импорта продовольственной группы товаров (мука, растительное масло, сахар, крупы и т.д.), ГСМ;</w:t>
      </w:r>
    </w:p>
    <w:p>
      <w:pPr>
        <w:spacing w:after="60"/>
        <w:ind w:firstLine="567"/>
        <w:jc w:val="both"/>
      </w:pPr>
      <w:r>
        <w:rPr>
          <w:rFonts w:ascii="Arial" w:cs="Arial" w:eastAsia="Arial" w:hAnsi="Arial"/>
          <w:sz w:val="24"/>
          <w:szCs w:val="24"/>
        </w:rPr>
        <w:t xml:space="preserve">- недиверсифицированность экономики: высокая зависимость промышленного сектора от результатов деятельности предприятий по разработке месторождения Кумтор;</w:t>
      </w:r>
    </w:p>
    <w:p>
      <w:pPr>
        <w:spacing w:after="60"/>
        <w:ind w:firstLine="567"/>
        <w:jc w:val="both"/>
      </w:pPr>
      <w:r>
        <w:rPr>
          <w:rFonts w:ascii="Arial" w:cs="Arial" w:eastAsia="Arial" w:hAnsi="Arial"/>
          <w:sz w:val="24"/>
          <w:szCs w:val="24"/>
        </w:rPr>
        <w:t xml:space="preserve">- природно-климатический фактор, который может оказать негативное воздействие на развитие агропромышленного комплекса и энергетики;</w:t>
      </w:r>
    </w:p>
    <w:p>
      <w:pPr>
        <w:spacing w:after="60"/>
        <w:ind w:firstLine="567"/>
        <w:jc w:val="both"/>
      </w:pPr>
      <w:r>
        <w:rPr>
          <w:rFonts w:ascii="Arial" w:cs="Arial" w:eastAsia="Arial" w:hAnsi="Arial"/>
          <w:sz w:val="24"/>
          <w:szCs w:val="24"/>
        </w:rPr>
        <w:t xml:space="preserve">- преобладание импорта в структуре внешнеторгового оборота;</w:t>
      </w:r>
    </w:p>
    <w:p>
      <w:pPr>
        <w:spacing w:after="60"/>
        <w:ind w:firstLine="567"/>
        <w:jc w:val="both"/>
      </w:pPr>
      <w:r>
        <w:rPr>
          <w:rFonts w:ascii="Arial" w:cs="Arial" w:eastAsia="Arial" w:hAnsi="Arial"/>
          <w:sz w:val="24"/>
          <w:szCs w:val="24"/>
        </w:rPr>
        <w:t xml:space="preserve">- внушительный размер государственного долга;</w:t>
      </w:r>
    </w:p>
    <w:p>
      <w:pPr>
        <w:spacing w:after="60"/>
        <w:ind w:firstLine="567"/>
        <w:jc w:val="both"/>
      </w:pPr>
      <w:r>
        <w:rPr>
          <w:rFonts w:ascii="Arial" w:cs="Arial" w:eastAsia="Arial" w:hAnsi="Arial"/>
          <w:sz w:val="24"/>
          <w:szCs w:val="24"/>
        </w:rPr>
        <w:t xml:space="preserve">- высокая доля неформальной экономики.</w:t>
      </w:r>
    </w:p>
    <w:p>
      <w:pPr>
        <w:spacing w:after="60"/>
        <w:ind w:firstLine="567"/>
        <w:jc w:val="both"/>
      </w:pPr>
      <w:r>
        <w:rPr>
          <w:rFonts w:ascii="Arial" w:cs="Arial" w:eastAsia="Arial" w:hAnsi="Arial"/>
          <w:sz w:val="24"/>
          <w:szCs w:val="24"/>
        </w:rPr>
        <w:t xml:space="preserve">Траектории развития отраслей и возможности достижения прогнозных ориентиров в 2017-2019 годы будут определяться тем, насколько внутренние источники роста окажутся способны заместить исчерпание положительного краткосрочного эффекта для экономики, полученного от ослабления национальной валюты в 2014-2015 годы.</w:t>
      </w:r>
    </w:p>
    <w:p>
      <w:pPr>
        <w:spacing w:after="60"/>
        <w:ind w:firstLine="567"/>
        <w:jc w:val="both"/>
      </w:pPr>
      <w:r>
        <w:rPr>
          <w:rFonts w:ascii="Arial" w:cs="Arial" w:eastAsia="Arial" w:hAnsi="Arial"/>
          <w:sz w:val="24"/>
          <w:szCs w:val="24"/>
        </w:rPr>
        <w:t xml:space="preserve">В основу формирования прогнозных показателей на 2017-2019 годы в базовом (наиболее вероятном) сценарии заложены такие секторальные предпосылки, как:</w:t>
      </w:r>
    </w:p>
    <w:p>
      <w:pPr>
        <w:spacing w:after="60"/>
        <w:ind w:firstLine="567"/>
        <w:jc w:val="both"/>
      </w:pPr>
      <w:r>
        <w:rPr>
          <w:rFonts w:ascii="Arial" w:cs="Arial" w:eastAsia="Arial" w:hAnsi="Arial"/>
          <w:sz w:val="24"/>
          <w:szCs w:val="24"/>
        </w:rPr>
        <w:t xml:space="preserve">в сельском хозяйстве:</w:t>
      </w:r>
    </w:p>
    <w:p>
      <w:pPr>
        <w:spacing w:after="60"/>
        <w:ind w:firstLine="567"/>
        <w:jc w:val="both"/>
      </w:pPr>
      <w:r>
        <w:rPr>
          <w:rFonts w:ascii="Arial" w:cs="Arial" w:eastAsia="Arial" w:hAnsi="Arial"/>
          <w:sz w:val="24"/>
          <w:szCs w:val="24"/>
        </w:rPr>
        <w:t xml:space="preserve">- влияние природно-климатического фактора;</w:t>
      </w:r>
    </w:p>
    <w:p>
      <w:pPr>
        <w:spacing w:after="60"/>
        <w:ind w:firstLine="567"/>
        <w:jc w:val="both"/>
      </w:pPr>
      <w:r>
        <w:rPr>
          <w:rFonts w:ascii="Arial" w:cs="Arial" w:eastAsia="Arial" w:hAnsi="Arial"/>
          <w:sz w:val="24"/>
          <w:szCs w:val="24"/>
        </w:rPr>
        <w:t xml:space="preserve">- развитие тепличных хозяйств;</w:t>
      </w:r>
    </w:p>
    <w:p>
      <w:pPr>
        <w:spacing w:after="60"/>
        <w:ind w:firstLine="567"/>
        <w:jc w:val="both"/>
      </w:pPr>
      <w:r>
        <w:rPr>
          <w:rFonts w:ascii="Arial" w:cs="Arial" w:eastAsia="Arial" w:hAnsi="Arial"/>
          <w:sz w:val="24"/>
          <w:szCs w:val="24"/>
        </w:rPr>
        <w:t xml:space="preserve">- эффект от ранее выданных льготных кредитов и продолжение практики финансирования, предоставления в лизинг сельхозтехники;</w:t>
      </w:r>
    </w:p>
    <w:p>
      <w:pPr>
        <w:spacing w:after="60"/>
        <w:ind w:firstLine="567"/>
        <w:jc w:val="both"/>
      </w:pPr>
      <w:r>
        <w:rPr>
          <w:rFonts w:ascii="Arial" w:cs="Arial" w:eastAsia="Arial" w:hAnsi="Arial"/>
          <w:sz w:val="24"/>
          <w:szCs w:val="24"/>
        </w:rPr>
        <w:t xml:space="preserve">в промышленности:</w:t>
      </w:r>
    </w:p>
    <w:p>
      <w:pPr>
        <w:spacing w:after="60"/>
        <w:ind w:firstLine="567"/>
        <w:jc w:val="both"/>
      </w:pPr>
      <w:r>
        <w:rPr>
          <w:rFonts w:ascii="Arial" w:cs="Arial" w:eastAsia="Arial" w:hAnsi="Arial"/>
          <w:sz w:val="24"/>
          <w:szCs w:val="24"/>
        </w:rPr>
        <w:t xml:space="preserve">- стабильная работа предприятий по разработке месторождения Кумтор. В расчет принят средний предел запланированных объемов закрытого акционерного общества "Кумтор Голд Компани" - производство золота на 2017-2019 годы в объеме со снижением в среднем на 6,4% от уровня 2015 года и с выходом на положительную динамику в 2019 году (рост на 7,7%);</w:t>
      </w:r>
    </w:p>
    <w:p>
      <w:pPr>
        <w:spacing w:after="60"/>
        <w:ind w:firstLine="567"/>
        <w:jc w:val="both"/>
      </w:pPr>
      <w:r>
        <w:rPr>
          <w:rFonts w:ascii="Arial" w:cs="Arial" w:eastAsia="Arial" w:hAnsi="Arial"/>
          <w:sz w:val="24"/>
          <w:szCs w:val="24"/>
        </w:rPr>
        <w:t xml:space="preserve">- увеличение объемов производства золота на открытом акционерном обществе "Кыргызалтын" в 2017-2019 годы в среднем на 7,4%;</w:t>
      </w:r>
    </w:p>
    <w:p>
      <w:pPr>
        <w:spacing w:after="60"/>
        <w:ind w:firstLine="567"/>
        <w:jc w:val="both"/>
      </w:pPr>
      <w:r>
        <w:rPr>
          <w:rFonts w:ascii="Arial" w:cs="Arial" w:eastAsia="Arial" w:hAnsi="Arial"/>
          <w:sz w:val="24"/>
          <w:szCs w:val="24"/>
        </w:rPr>
        <w:t xml:space="preserve">- наращивание объемов производства золота на месторождении Талды-Булак Левобережный;</w:t>
      </w:r>
    </w:p>
    <w:p>
      <w:pPr>
        <w:spacing w:after="60"/>
        <w:ind w:firstLine="567"/>
        <w:jc w:val="both"/>
      </w:pPr>
      <w:r>
        <w:rPr>
          <w:rFonts w:ascii="Arial" w:cs="Arial" w:eastAsia="Arial" w:hAnsi="Arial"/>
          <w:sz w:val="24"/>
          <w:szCs w:val="24"/>
        </w:rPr>
        <w:t xml:space="preserve">- наращивание объемов производства на месторождениях Бозымчак, Жамгыр, Иштамберди, Кара-Казык;</w:t>
      </w:r>
    </w:p>
    <w:p>
      <w:pPr>
        <w:spacing w:after="60"/>
        <w:ind w:firstLine="567"/>
        <w:jc w:val="both"/>
      </w:pPr>
      <w:r>
        <w:rPr>
          <w:rFonts w:ascii="Arial" w:cs="Arial" w:eastAsia="Arial" w:hAnsi="Arial"/>
          <w:sz w:val="24"/>
          <w:szCs w:val="24"/>
        </w:rPr>
        <w:t xml:space="preserve">- наращивание объемов производства нефтеперерабатывающего завода "Джунда" и Токмокского нефтеперерабатывающего завода;</w:t>
      </w:r>
    </w:p>
    <w:p>
      <w:pPr>
        <w:spacing w:after="60"/>
        <w:ind w:firstLine="567"/>
        <w:jc w:val="both"/>
      </w:pPr>
      <w:r>
        <w:rPr>
          <w:rFonts w:ascii="Arial" w:cs="Arial" w:eastAsia="Arial" w:hAnsi="Arial"/>
          <w:sz w:val="24"/>
          <w:szCs w:val="24"/>
        </w:rPr>
        <w:t xml:space="preserve">- ожидание увеличения притока воды, и как следствие восстановление объемов производства электроэнергии, в 2017-2019 годы рост в среднем на 3,1%;</w:t>
      </w:r>
    </w:p>
    <w:p>
      <w:pPr>
        <w:spacing w:after="60"/>
        <w:ind w:firstLine="567"/>
        <w:jc w:val="both"/>
      </w:pPr>
      <w:r>
        <w:rPr>
          <w:rFonts w:ascii="Arial" w:cs="Arial" w:eastAsia="Arial" w:hAnsi="Arial"/>
          <w:sz w:val="24"/>
          <w:szCs w:val="24"/>
        </w:rPr>
        <w:t xml:space="preserve">в строительстве:</w:t>
      </w:r>
    </w:p>
    <w:p>
      <w:pPr>
        <w:spacing w:after="60"/>
        <w:ind w:firstLine="567"/>
        <w:jc w:val="both"/>
      </w:pPr>
      <w:r>
        <w:rPr>
          <w:rFonts w:ascii="Arial" w:cs="Arial" w:eastAsia="Arial" w:hAnsi="Arial"/>
          <w:sz w:val="24"/>
          <w:szCs w:val="24"/>
        </w:rPr>
        <w:t xml:space="preserve">- положительный рост чистого притока денежных переводов физических лиц, осуществленных через системы переводов;</w:t>
      </w:r>
    </w:p>
    <w:p>
      <w:pPr>
        <w:spacing w:after="60"/>
        <w:ind w:firstLine="567"/>
        <w:jc w:val="both"/>
      </w:pPr>
      <w:r>
        <w:rPr>
          <w:rFonts w:ascii="Arial" w:cs="Arial" w:eastAsia="Arial" w:hAnsi="Arial"/>
          <w:sz w:val="24"/>
          <w:szCs w:val="24"/>
        </w:rPr>
        <w:t xml:space="preserve">- реализация крупных инвестиционных проектов;</w:t>
      </w:r>
    </w:p>
    <w:p>
      <w:pPr>
        <w:spacing w:after="60"/>
        <w:ind w:firstLine="567"/>
        <w:jc w:val="both"/>
      </w:pPr>
      <w:r>
        <w:rPr>
          <w:rFonts w:ascii="Arial" w:cs="Arial" w:eastAsia="Arial" w:hAnsi="Arial"/>
          <w:sz w:val="24"/>
          <w:szCs w:val="24"/>
        </w:rPr>
        <w:t xml:space="preserve">в сфере услуг:</w:t>
      </w:r>
    </w:p>
    <w:p>
      <w:pPr>
        <w:spacing w:after="60"/>
        <w:ind w:firstLine="567"/>
        <w:jc w:val="both"/>
      </w:pPr>
      <w:r>
        <w:rPr>
          <w:rFonts w:ascii="Arial" w:cs="Arial" w:eastAsia="Arial" w:hAnsi="Arial"/>
          <w:sz w:val="24"/>
          <w:szCs w:val="24"/>
        </w:rPr>
        <w:t xml:space="preserve">- увеличение потребительского спроса и рост торговли;</w:t>
      </w:r>
    </w:p>
    <w:p>
      <w:pPr>
        <w:spacing w:after="60"/>
        <w:ind w:firstLine="567"/>
        <w:jc w:val="both"/>
      </w:pPr>
      <w:r>
        <w:rPr>
          <w:rFonts w:ascii="Arial" w:cs="Arial" w:eastAsia="Arial" w:hAnsi="Arial"/>
          <w:sz w:val="24"/>
          <w:szCs w:val="24"/>
        </w:rPr>
        <w:t xml:space="preserve">- положительный рост чистого притока денежных переводов физических лиц, осуществленных через системы переводов.</w:t>
      </w:r>
    </w:p>
    <w:p>
      <w:pPr>
        <w:spacing w:after="60"/>
        <w:ind w:firstLine="567"/>
        <w:jc w:val="both"/>
      </w:pPr>
      <w:r>
        <w:rPr>
          <w:rFonts w:ascii="Arial" w:cs="Arial" w:eastAsia="Arial" w:hAnsi="Arial"/>
          <w:sz w:val="24"/>
          <w:szCs w:val="24"/>
        </w:rPr>
        <w:t xml:space="preserve">Таким образом, на основе учета предпосылок экономический рост, прогнозируемый в 2017-2019 годы на уровне 4,4% в среднем за год, будет поддерживаться со стороны всех секторов реальной экономики, формирующих ВВП страны.</w:t>
      </w:r>
    </w:p>
    <w:p>
      <w:pPr>
        <w:spacing w:after="120" w:before="200"/>
        <w:jc w:val="left"/>
      </w:pPr>
      <w:r>
        <w:rPr>
          <w:rFonts w:ascii="Arial" w:cs="Arial" w:eastAsia="Arial" w:hAnsi="Arial"/>
          <w:b/>
          <w:bCs/>
          <w:sz w:val="24"/>
          <w:szCs w:val="24"/>
        </w:rPr>
        <w:t xml:space="preserve">Таблица 12. Реальные вклады секторов производства ВВП на 2017-2019 годы, в %
 (базовый сценарий)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61"/>
        <w:gridCol w:w="1122"/>
        <w:gridCol w:w="1122"/>
        <w:gridCol w:w="1122"/>
        <w:gridCol w:w="1726"/>
        <w:gridCol w:w="1726"/>
      </w:tblGrid>
      <w:tr>
        <w:tc>
          <w:tcPr>
            <w:tcW w:type="dxa" w:w="336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 прогноз</w:t>
            </w:r>
          </w:p>
        </w:tc>
        <w:tc>
          <w:tcPr>
            <w:tcW w:type="dxa" w:w="112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 прогноз</w:t>
            </w:r>
          </w:p>
        </w:tc>
        <w:tc>
          <w:tcPr>
            <w:tcW w:type="dxa" w:w="112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 прогноз</w:t>
            </w:r>
          </w:p>
        </w:tc>
        <w:tc>
          <w:tcPr>
            <w:tcW w:type="dxa" w:w="172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Средний показатель в 2017-2019 гг.</w:t>
            </w:r>
          </w:p>
        </w:tc>
        <w:tc>
          <w:tcPr>
            <w:tcW w:type="dxa" w:w="172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Вклад в прирост ВВП в 2017-2019 гг., п.п.</w:t>
            </w:r>
          </w:p>
        </w:tc>
      </w:tr>
      <w:tr>
        <w:tc>
          <w:tcPr>
            <w:tcW w:type="dxa" w:w="33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Промышленность, млн. сомов</w:t>
            </w:r>
          </w:p>
        </w:tc>
        <w:tc>
          <w:tcPr>
            <w:tcW w:type="dxa" w:w="1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70357,8</w:t>
            </w:r>
          </w:p>
        </w:tc>
        <w:tc>
          <w:tcPr>
            <w:tcW w:type="dxa" w:w="1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74019,7</w:t>
            </w:r>
          </w:p>
        </w:tc>
        <w:tc>
          <w:tcPr>
            <w:tcW w:type="dxa" w:w="1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83914,4</w:t>
            </w:r>
          </w:p>
        </w:tc>
        <w:tc>
          <w:tcPr>
            <w:tcW w:type="dxa" w:w="17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76097,3</w:t>
            </w:r>
          </w:p>
        </w:tc>
        <w:tc>
          <w:tcPr>
            <w:tcW w:type="dxa" w:w="17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0,31</w:t>
            </w:r>
          </w:p>
        </w:tc>
      </w:tr>
      <w:tr>
        <w:tc>
          <w:tcPr>
            <w:tcW w:type="dxa" w:w="33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уд. вес в структуре ВВП, %</w:t>
            </w:r>
          </w:p>
        </w:tc>
        <w:tc>
          <w:tcPr>
            <w:tcW w:type="dxa" w:w="1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13,8</w:t>
            </w:r>
          </w:p>
        </w:tc>
        <w:tc>
          <w:tcPr>
            <w:tcW w:type="dxa" w:w="1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w:t>
            </w:r>
          </w:p>
        </w:tc>
        <w:tc>
          <w:tcPr>
            <w:tcW w:type="dxa" w:w="1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w:t>
            </w:r>
          </w:p>
        </w:tc>
        <w:tc>
          <w:tcPr>
            <w:tcW w:type="dxa" w:w="17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w:t>
            </w:r>
          </w:p>
        </w:tc>
        <w:tc>
          <w:tcPr>
            <w:tcW w:type="dxa" w:w="17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3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темпы реального роста, %</w:t>
            </w:r>
          </w:p>
        </w:tc>
        <w:tc>
          <w:tcPr>
            <w:tcW w:type="dxa" w:w="1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98,2</w:t>
            </w:r>
          </w:p>
        </w:tc>
        <w:tc>
          <w:tcPr>
            <w:tcW w:type="dxa" w:w="1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99,2</w:t>
            </w:r>
          </w:p>
        </w:tc>
        <w:tc>
          <w:tcPr>
            <w:tcW w:type="dxa" w:w="1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110,1</w:t>
            </w:r>
          </w:p>
        </w:tc>
        <w:tc>
          <w:tcPr>
            <w:tcW w:type="dxa" w:w="17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17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3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Сельское хозяйство, млн. сомов</w:t>
            </w:r>
          </w:p>
        </w:tc>
        <w:tc>
          <w:tcPr>
            <w:tcW w:type="dxa" w:w="1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68960,9</w:t>
            </w:r>
          </w:p>
        </w:tc>
        <w:tc>
          <w:tcPr>
            <w:tcW w:type="dxa" w:w="1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75096,6</w:t>
            </w:r>
          </w:p>
        </w:tc>
        <w:tc>
          <w:tcPr>
            <w:tcW w:type="dxa" w:w="1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81977,4</w:t>
            </w:r>
          </w:p>
        </w:tc>
        <w:tc>
          <w:tcPr>
            <w:tcW w:type="dxa" w:w="17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75345,0</w:t>
            </w:r>
          </w:p>
        </w:tc>
        <w:tc>
          <w:tcPr>
            <w:tcW w:type="dxa" w:w="17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0,32</w:t>
            </w:r>
          </w:p>
        </w:tc>
      </w:tr>
      <w:tr>
        <w:tc>
          <w:tcPr>
            <w:tcW w:type="dxa" w:w="33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уд. вес в структуре ВВП, %</w:t>
            </w:r>
          </w:p>
        </w:tc>
        <w:tc>
          <w:tcPr>
            <w:tcW w:type="dxa" w:w="1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w:t>
            </w:r>
          </w:p>
        </w:tc>
        <w:tc>
          <w:tcPr>
            <w:tcW w:type="dxa" w:w="1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w:t>
            </w:r>
          </w:p>
        </w:tc>
        <w:tc>
          <w:tcPr>
            <w:tcW w:type="dxa" w:w="1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w:t>
            </w:r>
          </w:p>
        </w:tc>
        <w:tc>
          <w:tcPr>
            <w:tcW w:type="dxa" w:w="17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w:t>
            </w:r>
          </w:p>
        </w:tc>
        <w:tc>
          <w:tcPr>
            <w:tcW w:type="dxa" w:w="17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3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темпы реального роста, %</w:t>
            </w:r>
          </w:p>
        </w:tc>
        <w:tc>
          <w:tcPr>
            <w:tcW w:type="dxa" w:w="1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1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17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17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3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Строительство, млн. сомов</w:t>
            </w:r>
          </w:p>
        </w:tc>
        <w:tc>
          <w:tcPr>
            <w:tcW w:type="dxa" w:w="1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47384,2</w:t>
            </w:r>
          </w:p>
        </w:tc>
        <w:tc>
          <w:tcPr>
            <w:tcW w:type="dxa" w:w="1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55753,3</w:t>
            </w:r>
          </w:p>
        </w:tc>
        <w:tc>
          <w:tcPr>
            <w:tcW w:type="dxa" w:w="1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66231,0</w:t>
            </w:r>
          </w:p>
        </w:tc>
        <w:tc>
          <w:tcPr>
            <w:tcW w:type="dxa" w:w="17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56456,2</w:t>
            </w:r>
          </w:p>
        </w:tc>
        <w:tc>
          <w:tcPr>
            <w:tcW w:type="dxa" w:w="17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w:t>
            </w:r>
          </w:p>
        </w:tc>
      </w:tr>
      <w:tr>
        <w:tc>
          <w:tcPr>
            <w:tcW w:type="dxa" w:w="33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уд. вес в структуре ВВП, %</w:t>
            </w:r>
          </w:p>
        </w:tc>
        <w:tc>
          <w:tcPr>
            <w:tcW w:type="dxa" w:w="1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w:t>
            </w:r>
          </w:p>
        </w:tc>
        <w:tc>
          <w:tcPr>
            <w:tcW w:type="dxa" w:w="1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w:t>
            </w:r>
          </w:p>
        </w:tc>
        <w:tc>
          <w:tcPr>
            <w:tcW w:type="dxa" w:w="1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w:t>
            </w:r>
          </w:p>
        </w:tc>
        <w:tc>
          <w:tcPr>
            <w:tcW w:type="dxa" w:w="17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w:t>
            </w:r>
          </w:p>
        </w:tc>
        <w:tc>
          <w:tcPr>
            <w:tcW w:type="dxa" w:w="17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3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темпы реального роста, %</w:t>
            </w:r>
          </w:p>
        </w:tc>
        <w:tc>
          <w:tcPr>
            <w:tcW w:type="dxa" w:w="1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110,9</w:t>
            </w:r>
          </w:p>
        </w:tc>
        <w:tc>
          <w:tcPr>
            <w:tcW w:type="dxa" w:w="1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111,7</w:t>
            </w:r>
          </w:p>
        </w:tc>
        <w:tc>
          <w:tcPr>
            <w:tcW w:type="dxa" w:w="1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112,6</w:t>
            </w:r>
          </w:p>
        </w:tc>
        <w:tc>
          <w:tcPr>
            <w:tcW w:type="dxa" w:w="17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111,7</w:t>
            </w:r>
          </w:p>
        </w:tc>
        <w:tc>
          <w:tcPr>
            <w:tcW w:type="dxa" w:w="17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3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Услуги, млн. сомов</w:t>
            </w:r>
          </w:p>
        </w:tc>
        <w:tc>
          <w:tcPr>
            <w:tcW w:type="dxa" w:w="1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262710,6</w:t>
            </w:r>
          </w:p>
        </w:tc>
        <w:tc>
          <w:tcPr>
            <w:tcW w:type="dxa" w:w="1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294299,1</w:t>
            </w:r>
          </w:p>
        </w:tc>
        <w:tc>
          <w:tcPr>
            <w:tcW w:type="dxa" w:w="1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326053,0</w:t>
            </w:r>
          </w:p>
        </w:tc>
        <w:tc>
          <w:tcPr>
            <w:tcW w:type="dxa" w:w="17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294354,2</w:t>
            </w:r>
          </w:p>
        </w:tc>
        <w:tc>
          <w:tcPr>
            <w:tcW w:type="dxa" w:w="17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2,19</w:t>
            </w:r>
          </w:p>
        </w:tc>
      </w:tr>
      <w:tr>
        <w:tc>
          <w:tcPr>
            <w:tcW w:type="dxa" w:w="33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уд. вес в структуре ВВП, %</w:t>
            </w:r>
          </w:p>
        </w:tc>
        <w:tc>
          <w:tcPr>
            <w:tcW w:type="dxa" w:w="1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51,4</w:t>
            </w:r>
          </w:p>
        </w:tc>
        <w:tc>
          <w:tcPr>
            <w:tcW w:type="dxa" w:w="1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51,9</w:t>
            </w:r>
          </w:p>
        </w:tc>
        <w:tc>
          <w:tcPr>
            <w:tcW w:type="dxa" w:w="1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51,4</w:t>
            </w:r>
          </w:p>
        </w:tc>
        <w:tc>
          <w:tcPr>
            <w:tcW w:type="dxa" w:w="17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51,5</w:t>
            </w:r>
          </w:p>
        </w:tc>
        <w:tc>
          <w:tcPr>
            <w:tcW w:type="dxa" w:w="17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3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темпы реального роста, %</w:t>
            </w:r>
          </w:p>
        </w:tc>
        <w:tc>
          <w:tcPr>
            <w:tcW w:type="dxa" w:w="1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1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1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17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17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3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Налоги на продукты и импорт, млн. сомов</w:t>
            </w:r>
          </w:p>
        </w:tc>
        <w:tc>
          <w:tcPr>
            <w:tcW w:type="dxa" w:w="1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61654,0</w:t>
            </w:r>
          </w:p>
        </w:tc>
        <w:tc>
          <w:tcPr>
            <w:tcW w:type="dxa" w:w="1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68458,8</w:t>
            </w:r>
          </w:p>
        </w:tc>
        <w:tc>
          <w:tcPr>
            <w:tcW w:type="dxa" w:w="1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76348,5</w:t>
            </w:r>
          </w:p>
        </w:tc>
        <w:tc>
          <w:tcPr>
            <w:tcW w:type="dxa" w:w="17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68820,4</w:t>
            </w:r>
          </w:p>
        </w:tc>
        <w:tc>
          <w:tcPr>
            <w:tcW w:type="dxa" w:w="17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0,53</w:t>
            </w:r>
          </w:p>
        </w:tc>
      </w:tr>
      <w:tr>
        <w:tc>
          <w:tcPr>
            <w:tcW w:type="dxa" w:w="33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уд. вес в структуре ВВП, %</w:t>
            </w:r>
          </w:p>
        </w:tc>
        <w:tc>
          <w:tcPr>
            <w:tcW w:type="dxa" w:w="1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c>
          <w:tcPr>
            <w:tcW w:type="dxa" w:w="1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1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17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17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3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Темпы реального роста ВВП, %</w:t>
            </w:r>
          </w:p>
        </w:tc>
        <w:tc>
          <w:tcPr>
            <w:tcW w:type="dxa" w:w="1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1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1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c>
          <w:tcPr>
            <w:tcW w:type="dxa" w:w="17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c>
          <w:tcPr>
            <w:tcW w:type="dxa" w:w="17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w:t>
            </w:r>
          </w:p>
        </w:tc>
      </w:tr>
      <w:tr>
        <w:tc>
          <w:tcPr>
            <w:tcW w:type="dxa" w:w="33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Дефлятор ВВП, %</w:t>
            </w:r>
          </w:p>
        </w:tc>
        <w:tc>
          <w:tcPr>
            <w:tcW w:type="dxa" w:w="1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w:t>
            </w:r>
          </w:p>
        </w:tc>
        <w:tc>
          <w:tcPr>
            <w:tcW w:type="dxa" w:w="1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106,4</w:t>
            </w:r>
          </w:p>
        </w:tc>
        <w:tc>
          <w:tcPr>
            <w:tcW w:type="dxa" w:w="1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17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17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Максимальный вклад (2,19 процентного пункта) в среднегодовые темпы экономического роста прогнозируется от работы объектов и предприятий сферы услуг. Реальные вклады промышленного производства, сельского хозяйства и строительства составят 0,31, 0,32 и 1,09 процентного пункта соответственно.</w:t>
      </w:r>
    </w:p>
    <w:p>
      <w:pPr>
        <w:spacing w:after="60"/>
        <w:ind w:firstLine="567"/>
        <w:jc w:val="both"/>
      </w:pPr>
      <w:r>
        <w:rPr>
          <w:rFonts w:ascii="Arial" w:cs="Arial" w:eastAsia="Arial" w:hAnsi="Arial"/>
          <w:sz w:val="24"/>
          <w:szCs w:val="24"/>
        </w:rPr>
        <w:t xml:space="preserve">В региональном разрезе в базовом (наиболее вероятном) сценарии основная доля производства ВВП в 2017-2019 годах будет обеспечиваться за счет функционирования экономик города Бишкек, Чуйской, Иссык-Кульской, Джалал-Абадской областей, суммарный средний вклад которых в ВВП республики составит 3,4%. 76,6% ВВП будет традиционно формироваться в городе Бишкек и Чуйской, Иссык-Кульской, Джалал-Абадской областях.</w:t>
      </w:r>
    </w:p>
    <w:p>
      <w:pPr>
        <w:spacing w:after="120" w:before="200"/>
        <w:ind w:firstLine="567"/>
        <w:jc w:val="left"/>
      </w:pPr>
      <w:r>
        <w:rPr>
          <w:rFonts w:ascii="Arial" w:cs="Arial" w:eastAsia="Arial" w:hAnsi="Arial"/>
          <w:b/>
          <w:bCs/>
          <w:sz w:val="24"/>
          <w:szCs w:val="24"/>
        </w:rPr>
        <w:t xml:space="preserve">Таблица 13. Вклады регионов в производство ВВП</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92"/>
        <w:gridCol w:w="1138"/>
        <w:gridCol w:w="1138"/>
        <w:gridCol w:w="1138"/>
        <w:gridCol w:w="1736"/>
        <w:gridCol w:w="1736"/>
      </w:tblGrid>
      <w:tr>
        <w:tc>
          <w:tcPr>
            <w:tcW w:type="dxa" w:w="329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 прогноз</w:t>
            </w:r>
          </w:p>
        </w:tc>
        <w:tc>
          <w:tcPr>
            <w:tcW w:type="dxa" w:w="113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 прогноз</w:t>
            </w:r>
          </w:p>
        </w:tc>
        <w:tc>
          <w:tcPr>
            <w:tcW w:type="dxa" w:w="113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 прогноз</w:t>
            </w:r>
          </w:p>
        </w:tc>
        <w:tc>
          <w:tcPr>
            <w:tcW w:type="dxa" w:w="173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Среднее значение в 2017-2019 гг., %</w:t>
            </w:r>
          </w:p>
        </w:tc>
        <w:tc>
          <w:tcPr>
            <w:tcW w:type="dxa" w:w="173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Средний вклад, п.п.</w:t>
            </w:r>
          </w:p>
        </w:tc>
      </w:tr>
      <w:tr>
        <w:tc>
          <w:tcPr>
            <w:tcW w:type="dxa" w:w="32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Республика</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511067,5</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567627,5</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634524,3</w:t>
            </w:r>
          </w:p>
        </w:tc>
        <w:tc>
          <w:tcPr>
            <w:tcW w:type="dxa" w:w="17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571073,1</w:t>
            </w:r>
          </w:p>
        </w:tc>
        <w:tc>
          <w:tcPr>
            <w:tcW w:type="dxa" w:w="17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w:t>
            </w:r>
          </w:p>
        </w:tc>
      </w:tr>
      <w:tr>
        <w:tc>
          <w:tcPr>
            <w:tcW w:type="dxa" w:w="32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ВВП, %</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c>
          <w:tcPr>
            <w:tcW w:type="dxa" w:w="17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c>
          <w:tcPr>
            <w:tcW w:type="dxa" w:w="17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2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Дефлятор ВВП, %</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106,4</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17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17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2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21235,5</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23588,5</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26163,1</w:t>
            </w:r>
          </w:p>
        </w:tc>
        <w:tc>
          <w:tcPr>
            <w:tcW w:type="dxa" w:w="17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23662,4</w:t>
            </w:r>
          </w:p>
        </w:tc>
        <w:tc>
          <w:tcPr>
            <w:tcW w:type="dxa" w:w="17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0,15</w:t>
            </w:r>
          </w:p>
        </w:tc>
      </w:tr>
      <w:tr>
        <w:tc>
          <w:tcPr>
            <w:tcW w:type="dxa" w:w="32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17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17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2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доля в ВВП, %</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17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17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2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59192,5</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66324,9</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75055,0</w:t>
            </w:r>
          </w:p>
        </w:tc>
        <w:tc>
          <w:tcPr>
            <w:tcW w:type="dxa" w:w="17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66857,5</w:t>
            </w:r>
          </w:p>
        </w:tc>
        <w:tc>
          <w:tcPr>
            <w:tcW w:type="dxa" w:w="17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0,68</w:t>
            </w:r>
          </w:p>
        </w:tc>
      </w:tr>
      <w:tr>
        <w:tc>
          <w:tcPr>
            <w:tcW w:type="dxa" w:w="32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107,1</w:t>
            </w:r>
          </w:p>
        </w:tc>
        <w:tc>
          <w:tcPr>
            <w:tcW w:type="dxa" w:w="17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c>
          <w:tcPr>
            <w:tcW w:type="dxa" w:w="17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2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доля в ВВП, %</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w:t>
            </w:r>
          </w:p>
        </w:tc>
        <w:tc>
          <w:tcPr>
            <w:tcW w:type="dxa" w:w="17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w:t>
            </w:r>
          </w:p>
        </w:tc>
        <w:tc>
          <w:tcPr>
            <w:tcW w:type="dxa" w:w="17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2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62203,9</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67820,4</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74590,1</w:t>
            </w:r>
          </w:p>
        </w:tc>
        <w:tc>
          <w:tcPr>
            <w:tcW w:type="dxa" w:w="17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68204,8</w:t>
            </w:r>
          </w:p>
        </w:tc>
        <w:tc>
          <w:tcPr>
            <w:tcW w:type="dxa" w:w="17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0,37</w:t>
            </w:r>
          </w:p>
        </w:tc>
      </w:tr>
      <w:tr>
        <w:tc>
          <w:tcPr>
            <w:tcW w:type="dxa" w:w="32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17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17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2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доля в ВВП, %</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w:t>
            </w:r>
          </w:p>
        </w:tc>
        <w:tc>
          <w:tcPr>
            <w:tcW w:type="dxa" w:w="17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c>
          <w:tcPr>
            <w:tcW w:type="dxa" w:w="17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2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14524,5</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16113,9</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17962,4</w:t>
            </w:r>
          </w:p>
        </w:tc>
        <w:tc>
          <w:tcPr>
            <w:tcW w:type="dxa" w:w="17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16200,3</w:t>
            </w:r>
          </w:p>
        </w:tc>
        <w:tc>
          <w:tcPr>
            <w:tcW w:type="dxa" w:w="17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w:t>
            </w:r>
          </w:p>
        </w:tc>
      </w:tr>
      <w:tr>
        <w:tc>
          <w:tcPr>
            <w:tcW w:type="dxa" w:w="32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17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17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2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доля в ВВП, %</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17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17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2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38673,4</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42839,6</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47826,0</w:t>
            </w:r>
          </w:p>
        </w:tc>
        <w:tc>
          <w:tcPr>
            <w:tcW w:type="dxa" w:w="17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43113,0</w:t>
            </w:r>
          </w:p>
        </w:tc>
        <w:tc>
          <w:tcPr>
            <w:tcW w:type="dxa" w:w="17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0,37</w:t>
            </w:r>
          </w:p>
        </w:tc>
      </w:tr>
      <w:tr>
        <w:tc>
          <w:tcPr>
            <w:tcW w:type="dxa" w:w="32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17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17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2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доля в ВВП, %</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17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17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2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16652,5</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18369,0</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20200,5</w:t>
            </w:r>
          </w:p>
        </w:tc>
        <w:tc>
          <w:tcPr>
            <w:tcW w:type="dxa" w:w="17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18407,3</w:t>
            </w:r>
          </w:p>
        </w:tc>
        <w:tc>
          <w:tcPr>
            <w:tcW w:type="dxa" w:w="17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w:t>
            </w:r>
          </w:p>
        </w:tc>
      </w:tr>
      <w:tr>
        <w:tc>
          <w:tcPr>
            <w:tcW w:type="dxa" w:w="32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17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17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2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доля в ВВП, %</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17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17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2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81213,1</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90860,9</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102115,2</w:t>
            </w:r>
          </w:p>
        </w:tc>
        <w:tc>
          <w:tcPr>
            <w:tcW w:type="dxa" w:w="17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91396,4</w:t>
            </w:r>
          </w:p>
        </w:tc>
        <w:tc>
          <w:tcPr>
            <w:tcW w:type="dxa" w:w="17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0,96</w:t>
            </w:r>
          </w:p>
        </w:tc>
      </w:tr>
      <w:tr>
        <w:tc>
          <w:tcPr>
            <w:tcW w:type="dxa" w:w="32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107,3</w:t>
            </w:r>
          </w:p>
        </w:tc>
        <w:tc>
          <w:tcPr>
            <w:tcW w:type="dxa" w:w="17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17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2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доля в ВВП, %</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15,9</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16,1</w:t>
            </w:r>
          </w:p>
        </w:tc>
        <w:tc>
          <w:tcPr>
            <w:tcW w:type="dxa" w:w="17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w:t>
            </w:r>
          </w:p>
        </w:tc>
        <w:tc>
          <w:tcPr>
            <w:tcW w:type="dxa" w:w="17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2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Бишкек</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188711,0</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209624,0</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234762,0</w:t>
            </w:r>
          </w:p>
        </w:tc>
        <w:tc>
          <w:tcPr>
            <w:tcW w:type="dxa" w:w="17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211032,3</w:t>
            </w:r>
          </w:p>
        </w:tc>
        <w:tc>
          <w:tcPr>
            <w:tcW w:type="dxa" w:w="17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1,47</w:t>
            </w:r>
          </w:p>
        </w:tc>
      </w:tr>
      <w:tr>
        <w:tc>
          <w:tcPr>
            <w:tcW w:type="dxa" w:w="32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17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17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2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доля в ВВП, %</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36,9</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36,9</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37,0</w:t>
            </w:r>
          </w:p>
        </w:tc>
        <w:tc>
          <w:tcPr>
            <w:tcW w:type="dxa" w:w="17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36,9</w:t>
            </w:r>
          </w:p>
        </w:tc>
        <w:tc>
          <w:tcPr>
            <w:tcW w:type="dxa" w:w="17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2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Ош</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28661,0</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32086,2</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35850,1</w:t>
            </w:r>
          </w:p>
        </w:tc>
        <w:tc>
          <w:tcPr>
            <w:tcW w:type="dxa" w:w="17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32199,1</w:t>
            </w:r>
          </w:p>
        </w:tc>
        <w:tc>
          <w:tcPr>
            <w:tcW w:type="dxa" w:w="17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0,24</w:t>
            </w:r>
          </w:p>
        </w:tc>
      </w:tr>
      <w:tr>
        <w:tc>
          <w:tcPr>
            <w:tcW w:type="dxa" w:w="32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17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c>
          <w:tcPr>
            <w:tcW w:type="dxa" w:w="17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2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доля в ВВП, %</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w:t>
            </w:r>
          </w:p>
        </w:tc>
        <w:tc>
          <w:tcPr>
            <w:tcW w:type="dxa" w:w="17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w:t>
            </w:r>
          </w:p>
        </w:tc>
        <w:tc>
          <w:tcPr>
            <w:tcW w:type="dxa" w:w="17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В основу формирования прогнозных показателей на 2017-2019 годы в пессимистичном сценарии заложены такие предпосылки, как:</w:t>
      </w:r>
    </w:p>
    <w:p>
      <w:pPr>
        <w:spacing w:after="60"/>
        <w:ind w:firstLine="567"/>
        <w:jc w:val="both"/>
      </w:pPr>
      <w:r>
        <w:rPr>
          <w:rFonts w:ascii="Arial" w:cs="Arial" w:eastAsia="Arial" w:hAnsi="Arial"/>
          <w:sz w:val="24"/>
          <w:szCs w:val="24"/>
        </w:rPr>
        <w:t xml:space="preserve">в сельском хозяйстве:</w:t>
      </w:r>
    </w:p>
    <w:p>
      <w:pPr>
        <w:spacing w:after="60"/>
        <w:ind w:firstLine="567"/>
        <w:jc w:val="both"/>
      </w:pPr>
      <w:r>
        <w:rPr>
          <w:rFonts w:ascii="Arial" w:cs="Arial" w:eastAsia="Arial" w:hAnsi="Arial"/>
          <w:sz w:val="24"/>
          <w:szCs w:val="24"/>
        </w:rPr>
        <w:t xml:space="preserve">- влияние природно-климатического фактора;</w:t>
      </w:r>
    </w:p>
    <w:p>
      <w:pPr>
        <w:spacing w:after="60"/>
        <w:ind w:firstLine="567"/>
        <w:jc w:val="both"/>
      </w:pPr>
      <w:r>
        <w:rPr>
          <w:rFonts w:ascii="Arial" w:cs="Arial" w:eastAsia="Arial" w:hAnsi="Arial"/>
          <w:sz w:val="24"/>
          <w:szCs w:val="24"/>
        </w:rPr>
        <w:t xml:space="preserve">- продолжение практики финансирования, не наблюдается эффект от использования направляемых льготных кредитных ресурсов;</w:t>
      </w:r>
    </w:p>
    <w:p>
      <w:pPr>
        <w:spacing w:after="60"/>
        <w:ind w:firstLine="567"/>
        <w:jc w:val="both"/>
      </w:pPr>
      <w:r>
        <w:rPr>
          <w:rFonts w:ascii="Arial" w:cs="Arial" w:eastAsia="Arial" w:hAnsi="Arial"/>
          <w:sz w:val="24"/>
          <w:szCs w:val="24"/>
        </w:rPr>
        <w:t xml:space="preserve">- неблагоприятная эпизоотическая ситуация;</w:t>
      </w:r>
    </w:p>
    <w:p>
      <w:pPr>
        <w:spacing w:after="60"/>
        <w:ind w:firstLine="567"/>
        <w:jc w:val="both"/>
      </w:pPr>
      <w:r>
        <w:rPr>
          <w:rFonts w:ascii="Arial" w:cs="Arial" w:eastAsia="Arial" w:hAnsi="Arial"/>
          <w:sz w:val="24"/>
          <w:szCs w:val="24"/>
        </w:rPr>
        <w:t xml:space="preserve">- дефицит минеральных удобрений; недостаточная обеспеченность семенами сельскохозяйственных культур; непредсказуемость цен на топливо и ГСМ;</w:t>
      </w:r>
    </w:p>
    <w:p>
      <w:pPr>
        <w:spacing w:after="60"/>
        <w:ind w:firstLine="567"/>
        <w:jc w:val="both"/>
      </w:pPr>
      <w:r>
        <w:rPr>
          <w:rFonts w:ascii="Arial" w:cs="Arial" w:eastAsia="Arial" w:hAnsi="Arial"/>
          <w:sz w:val="24"/>
          <w:szCs w:val="24"/>
        </w:rPr>
        <w:t xml:space="preserve">в промышленности:</w:t>
      </w:r>
    </w:p>
    <w:p>
      <w:pPr>
        <w:spacing w:after="60"/>
        <w:ind w:firstLine="567"/>
        <w:jc w:val="both"/>
      </w:pPr>
      <w:r>
        <w:rPr>
          <w:rFonts w:ascii="Arial" w:cs="Arial" w:eastAsia="Arial" w:hAnsi="Arial"/>
          <w:sz w:val="24"/>
          <w:szCs w:val="24"/>
        </w:rPr>
        <w:t xml:space="preserve">- стабильная работа предприятий по разработке месторождения Кумтор. В расчет принят нижний предел запланированных объемов закрытого акционерного общества "Кумтор Голд Компани" - производство золота на 2017-2018 годы в объеме со снижением в среднем на 7,2% от уровня 2015 года и с выходом на положительную динамику в 2019 году (прирост на 7,7%);</w:t>
      </w:r>
    </w:p>
    <w:p>
      <w:pPr>
        <w:spacing w:after="60"/>
        <w:ind w:firstLine="567"/>
        <w:jc w:val="both"/>
      </w:pPr>
      <w:r>
        <w:rPr>
          <w:rFonts w:ascii="Arial" w:cs="Arial" w:eastAsia="Arial" w:hAnsi="Arial"/>
          <w:sz w:val="24"/>
          <w:szCs w:val="24"/>
        </w:rPr>
        <w:t xml:space="preserve">- увеличение объемов производства золота на открытом акционерном обществе "Кыргызалтын";</w:t>
      </w:r>
    </w:p>
    <w:p>
      <w:pPr>
        <w:spacing w:after="60"/>
        <w:ind w:firstLine="567"/>
        <w:jc w:val="both"/>
      </w:pPr>
      <w:r>
        <w:rPr>
          <w:rFonts w:ascii="Arial" w:cs="Arial" w:eastAsia="Arial" w:hAnsi="Arial"/>
          <w:sz w:val="24"/>
          <w:szCs w:val="24"/>
        </w:rPr>
        <w:t xml:space="preserve">- переработка нефтепродуктов на НПЗ "Джунда" в 2017-2019 годах в среднем до 200 тыс. тонн;</w:t>
      </w:r>
    </w:p>
    <w:p>
      <w:pPr>
        <w:spacing w:after="60"/>
        <w:ind w:firstLine="567"/>
        <w:jc w:val="both"/>
      </w:pPr>
      <w:r>
        <w:rPr>
          <w:rFonts w:ascii="Arial" w:cs="Arial" w:eastAsia="Arial" w:hAnsi="Arial"/>
          <w:sz w:val="24"/>
          <w:szCs w:val="24"/>
        </w:rPr>
        <w:t xml:space="preserve">- запуск Токмокского НПЗ, переработка нефтепродуктов в 2017-2019 годах в среднем до 50 тыс. тонн;</w:t>
      </w:r>
    </w:p>
    <w:p>
      <w:pPr>
        <w:spacing w:after="60"/>
        <w:ind w:firstLine="567"/>
        <w:jc w:val="both"/>
      </w:pPr>
      <w:r>
        <w:rPr>
          <w:rFonts w:ascii="Arial" w:cs="Arial" w:eastAsia="Arial" w:hAnsi="Arial"/>
          <w:sz w:val="24"/>
          <w:szCs w:val="24"/>
        </w:rPr>
        <w:t xml:space="preserve">- объем производства листового стекла на открытом акционерном обществе "Интергласс" на 2017-2019 годы на уровне объемов 2015 года (15 млн. кв.м);</w:t>
      </w:r>
    </w:p>
    <w:p>
      <w:pPr>
        <w:spacing w:after="60"/>
        <w:ind w:firstLine="567"/>
        <w:jc w:val="both"/>
      </w:pPr>
      <w:r>
        <w:rPr>
          <w:rFonts w:ascii="Arial" w:cs="Arial" w:eastAsia="Arial" w:hAnsi="Arial"/>
          <w:sz w:val="24"/>
          <w:szCs w:val="24"/>
        </w:rPr>
        <w:t xml:space="preserve">в строительстве:</w:t>
      </w:r>
    </w:p>
    <w:p>
      <w:pPr>
        <w:spacing w:after="60"/>
        <w:ind w:firstLine="567"/>
        <w:jc w:val="both"/>
      </w:pPr>
      <w:r>
        <w:rPr>
          <w:rFonts w:ascii="Arial" w:cs="Arial" w:eastAsia="Arial" w:hAnsi="Arial"/>
          <w:sz w:val="24"/>
          <w:szCs w:val="24"/>
        </w:rPr>
        <w:t xml:space="preserve">- восстановление объемов жилищного строительства за счет средств населения из-за ожидаемого увеличения чистого притока денежных переводов физических лиц, осуществленных через системы переводов в 2017 году на уровне - 21%, в 2018-2019 годах - 4,9%;</w:t>
      </w:r>
    </w:p>
    <w:p>
      <w:pPr>
        <w:spacing w:after="60"/>
        <w:ind w:firstLine="567"/>
        <w:jc w:val="both"/>
      </w:pPr>
      <w:r>
        <w:rPr>
          <w:rFonts w:ascii="Arial" w:cs="Arial" w:eastAsia="Arial" w:hAnsi="Arial"/>
          <w:sz w:val="24"/>
          <w:szCs w:val="24"/>
        </w:rPr>
        <w:t xml:space="preserve">- восстановление роста чистого притока денежных переводов физических лиц, осуществленных через системы переводов;</w:t>
      </w:r>
    </w:p>
    <w:p>
      <w:pPr>
        <w:spacing w:after="60"/>
        <w:ind w:firstLine="567"/>
        <w:jc w:val="both"/>
      </w:pPr>
      <w:r>
        <w:rPr>
          <w:rFonts w:ascii="Arial" w:cs="Arial" w:eastAsia="Arial" w:hAnsi="Arial"/>
          <w:sz w:val="24"/>
          <w:szCs w:val="24"/>
        </w:rPr>
        <w:t xml:space="preserve">- продолжение реализации крупных инвестиционных проектов;</w:t>
      </w:r>
    </w:p>
    <w:p>
      <w:pPr>
        <w:spacing w:after="60"/>
        <w:ind w:firstLine="567"/>
        <w:jc w:val="both"/>
      </w:pPr>
      <w:r>
        <w:rPr>
          <w:rFonts w:ascii="Arial" w:cs="Arial" w:eastAsia="Arial" w:hAnsi="Arial"/>
          <w:sz w:val="24"/>
          <w:szCs w:val="24"/>
        </w:rPr>
        <w:t xml:space="preserve">- восстановление финансирования части крупных инвестиционных проектов (Верхне-Нарынский каскад ГЭС, Камбаратинские ГЭС 1, 2);</w:t>
      </w:r>
    </w:p>
    <w:p>
      <w:pPr>
        <w:spacing w:after="60"/>
        <w:ind w:firstLine="567"/>
        <w:jc w:val="both"/>
      </w:pPr>
      <w:r>
        <w:rPr>
          <w:rFonts w:ascii="Arial" w:cs="Arial" w:eastAsia="Arial" w:hAnsi="Arial"/>
          <w:sz w:val="24"/>
          <w:szCs w:val="24"/>
        </w:rPr>
        <w:t xml:space="preserve">в сфере услуг:</w:t>
      </w:r>
    </w:p>
    <w:p>
      <w:pPr>
        <w:spacing w:after="60"/>
        <w:ind w:firstLine="567"/>
        <w:jc w:val="both"/>
      </w:pPr>
      <w:r>
        <w:rPr>
          <w:rFonts w:ascii="Arial" w:cs="Arial" w:eastAsia="Arial" w:hAnsi="Arial"/>
          <w:sz w:val="24"/>
          <w:szCs w:val="24"/>
        </w:rPr>
        <w:t xml:space="preserve">- умеренный рост торговли, внутренний спрос будет поддерживаться на потенциальном уровне;</w:t>
      </w:r>
    </w:p>
    <w:p>
      <w:pPr>
        <w:spacing w:after="60"/>
        <w:ind w:firstLine="567"/>
        <w:jc w:val="both"/>
      </w:pPr>
      <w:r>
        <w:rPr>
          <w:rFonts w:ascii="Arial" w:cs="Arial" w:eastAsia="Arial" w:hAnsi="Arial"/>
          <w:sz w:val="24"/>
          <w:szCs w:val="24"/>
        </w:rPr>
        <w:t xml:space="preserve">- восстановление роста чистого притока денежных переводов физических лиц, осуществленных через системы переводов;</w:t>
      </w:r>
    </w:p>
    <w:p>
      <w:pPr>
        <w:spacing w:after="60"/>
        <w:ind w:firstLine="567"/>
        <w:jc w:val="both"/>
      </w:pPr>
      <w:r>
        <w:rPr>
          <w:rFonts w:ascii="Arial" w:cs="Arial" w:eastAsia="Arial" w:hAnsi="Arial"/>
          <w:sz w:val="24"/>
          <w:szCs w:val="24"/>
        </w:rPr>
        <w:t xml:space="preserve">- продолжение роста инфляции.</w:t>
      </w:r>
    </w:p>
    <w:p>
      <w:pPr>
        <w:spacing w:after="60"/>
        <w:ind w:firstLine="567"/>
        <w:jc w:val="both"/>
      </w:pPr>
      <w:r>
        <w:rPr>
          <w:rFonts w:ascii="Arial" w:cs="Arial" w:eastAsia="Arial" w:hAnsi="Arial"/>
          <w:sz w:val="24"/>
          <w:szCs w:val="24"/>
        </w:rPr>
        <w:t xml:space="preserve">Таким образом, на основе учета предпосылок, при развитии кыргызской экономики по пессимистичному сценарию экономический рост, прогнозируемый в 2017-2019 годы на уровне 3,2% в среднем за год, будет поддерживаться со стороны всех секторов реальной экономики, формирующих ВВП страны.</w:t>
      </w:r>
    </w:p>
    <w:p>
      <w:pPr>
        <w:spacing w:after="120" w:before="200"/>
        <w:jc w:val="left"/>
      </w:pPr>
      <w:r>
        <w:rPr>
          <w:rFonts w:ascii="Arial" w:cs="Arial" w:eastAsia="Arial" w:hAnsi="Arial"/>
          <w:b/>
          <w:bCs/>
          <w:sz w:val="24"/>
          <w:szCs w:val="24"/>
        </w:rPr>
        <w:t xml:space="preserve">Таблица 14. Реальные вклады секторов производства ВВП на 2017-2019 годы
 (пессимистичный сценарий)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673"/>
        <w:gridCol w:w="1260"/>
        <w:gridCol w:w="1260"/>
        <w:gridCol w:w="1260"/>
        <w:gridCol w:w="1948"/>
        <w:gridCol w:w="1777"/>
      </w:tblGrid>
      <w:tr>
        <w:tc>
          <w:tcPr>
            <w:tcW w:type="dxa" w:w="267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 прогноз</w:t>
            </w:r>
          </w:p>
        </w:tc>
        <w:tc>
          <w:tcPr>
            <w:tcW w:type="dxa" w:w="126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 прогноз</w:t>
            </w:r>
          </w:p>
        </w:tc>
        <w:tc>
          <w:tcPr>
            <w:tcW w:type="dxa" w:w="126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 прогноз</w:t>
            </w:r>
          </w:p>
        </w:tc>
        <w:tc>
          <w:tcPr>
            <w:tcW w:type="dxa" w:w="194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Средний показатель в 2017-2019 гг.</w:t>
            </w:r>
          </w:p>
        </w:tc>
        <w:tc>
          <w:tcPr>
            <w:tcW w:type="dxa" w:w="177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Вклад в прирост ВВП на 2017-2019 гг.</w:t>
            </w:r>
          </w:p>
        </w:tc>
      </w:tr>
      <w:tr>
        <w:tc>
          <w:tcPr>
            <w:tcW w:type="dxa" w:w="26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Промышленность, млн. сомов</w:t>
            </w:r>
          </w:p>
        </w:tc>
        <w:tc>
          <w:tcPr>
            <w:tcW w:type="dxa" w:w="12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65264,6</w:t>
            </w:r>
          </w:p>
        </w:tc>
        <w:tc>
          <w:tcPr>
            <w:tcW w:type="dxa" w:w="12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68174,0</w:t>
            </w:r>
          </w:p>
        </w:tc>
        <w:tc>
          <w:tcPr>
            <w:tcW w:type="dxa" w:w="12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75518,2</w:t>
            </w:r>
          </w:p>
        </w:tc>
        <w:tc>
          <w:tcPr>
            <w:tcW w:type="dxa" w:w="19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69652,3</w:t>
            </w:r>
          </w:p>
        </w:tc>
        <w:tc>
          <w:tcPr>
            <w:tcW w:type="dxa" w:w="17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0,12</w:t>
            </w:r>
          </w:p>
        </w:tc>
      </w:tr>
      <w:tr>
        <w:tc>
          <w:tcPr>
            <w:tcW w:type="dxa" w:w="26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уд. вес в структуре ВВП, %</w:t>
            </w:r>
          </w:p>
        </w:tc>
        <w:tc>
          <w:tcPr>
            <w:tcW w:type="dxa" w:w="12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w:t>
            </w:r>
          </w:p>
        </w:tc>
        <w:tc>
          <w:tcPr>
            <w:tcW w:type="dxa" w:w="12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w:t>
            </w:r>
          </w:p>
        </w:tc>
        <w:tc>
          <w:tcPr>
            <w:tcW w:type="dxa" w:w="12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w:t>
            </w:r>
          </w:p>
        </w:tc>
        <w:tc>
          <w:tcPr>
            <w:tcW w:type="dxa" w:w="19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w:t>
            </w:r>
          </w:p>
        </w:tc>
        <w:tc>
          <w:tcPr>
            <w:tcW w:type="dxa" w:w="17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6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темпы реального роста, %</w:t>
            </w:r>
          </w:p>
        </w:tc>
        <w:tc>
          <w:tcPr>
            <w:tcW w:type="dxa" w:w="12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97,1</w:t>
            </w:r>
          </w:p>
        </w:tc>
        <w:tc>
          <w:tcPr>
            <w:tcW w:type="dxa" w:w="12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98,9</w:t>
            </w:r>
          </w:p>
        </w:tc>
        <w:tc>
          <w:tcPr>
            <w:tcW w:type="dxa" w:w="12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107,2</w:t>
            </w:r>
          </w:p>
        </w:tc>
        <w:tc>
          <w:tcPr>
            <w:tcW w:type="dxa" w:w="19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17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6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Сельское хозяйство, млн. сомов</w:t>
            </w:r>
          </w:p>
        </w:tc>
        <w:tc>
          <w:tcPr>
            <w:tcW w:type="dxa" w:w="12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69496,6</w:t>
            </w:r>
          </w:p>
        </w:tc>
        <w:tc>
          <w:tcPr>
            <w:tcW w:type="dxa" w:w="12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75919,5</w:t>
            </w:r>
          </w:p>
        </w:tc>
        <w:tc>
          <w:tcPr>
            <w:tcW w:type="dxa" w:w="12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82865,9</w:t>
            </w:r>
          </w:p>
        </w:tc>
        <w:tc>
          <w:tcPr>
            <w:tcW w:type="dxa" w:w="19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76094,0</w:t>
            </w:r>
          </w:p>
        </w:tc>
        <w:tc>
          <w:tcPr>
            <w:tcW w:type="dxa" w:w="17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0,26</w:t>
            </w:r>
          </w:p>
        </w:tc>
      </w:tr>
      <w:tr>
        <w:tc>
          <w:tcPr>
            <w:tcW w:type="dxa" w:w="26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уд. вес в структуре ВВП, %</w:t>
            </w:r>
          </w:p>
        </w:tc>
        <w:tc>
          <w:tcPr>
            <w:tcW w:type="dxa" w:w="12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13,8</w:t>
            </w:r>
          </w:p>
        </w:tc>
        <w:tc>
          <w:tcPr>
            <w:tcW w:type="dxa" w:w="12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13,8</w:t>
            </w:r>
          </w:p>
        </w:tc>
        <w:tc>
          <w:tcPr>
            <w:tcW w:type="dxa" w:w="12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w:t>
            </w:r>
          </w:p>
        </w:tc>
        <w:tc>
          <w:tcPr>
            <w:tcW w:type="dxa" w:w="19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13,7</w:t>
            </w:r>
          </w:p>
        </w:tc>
        <w:tc>
          <w:tcPr>
            <w:tcW w:type="dxa" w:w="17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6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темпы реального роста, %</w:t>
            </w:r>
          </w:p>
        </w:tc>
        <w:tc>
          <w:tcPr>
            <w:tcW w:type="dxa" w:w="12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12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2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19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c>
          <w:tcPr>
            <w:tcW w:type="dxa" w:w="17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6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Строительство, млн. сомов</w:t>
            </w:r>
          </w:p>
        </w:tc>
        <w:tc>
          <w:tcPr>
            <w:tcW w:type="dxa" w:w="12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45950,7</w:t>
            </w:r>
          </w:p>
        </w:tc>
        <w:tc>
          <w:tcPr>
            <w:tcW w:type="dxa" w:w="12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53307,3</w:t>
            </w:r>
          </w:p>
        </w:tc>
        <w:tc>
          <w:tcPr>
            <w:tcW w:type="dxa" w:w="12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62026,2</w:t>
            </w:r>
          </w:p>
        </w:tc>
        <w:tc>
          <w:tcPr>
            <w:tcW w:type="dxa" w:w="19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53761,4</w:t>
            </w:r>
          </w:p>
        </w:tc>
        <w:tc>
          <w:tcPr>
            <w:tcW w:type="dxa" w:w="17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0,84</w:t>
            </w:r>
          </w:p>
        </w:tc>
      </w:tr>
      <w:tr>
        <w:tc>
          <w:tcPr>
            <w:tcW w:type="dxa" w:w="26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уд. вес в структуре ВВП, %</w:t>
            </w:r>
          </w:p>
        </w:tc>
        <w:tc>
          <w:tcPr>
            <w:tcW w:type="dxa" w:w="12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w:t>
            </w:r>
          </w:p>
        </w:tc>
        <w:tc>
          <w:tcPr>
            <w:tcW w:type="dxa" w:w="12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w:t>
            </w:r>
          </w:p>
        </w:tc>
        <w:tc>
          <w:tcPr>
            <w:tcW w:type="dxa" w:w="12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w:t>
            </w:r>
          </w:p>
        </w:tc>
        <w:tc>
          <w:tcPr>
            <w:tcW w:type="dxa" w:w="19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w:t>
            </w:r>
          </w:p>
        </w:tc>
        <w:tc>
          <w:tcPr>
            <w:tcW w:type="dxa" w:w="17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6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темпы реального роста, %</w:t>
            </w:r>
          </w:p>
        </w:tc>
        <w:tc>
          <w:tcPr>
            <w:tcW w:type="dxa" w:w="12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108,1</w:t>
            </w:r>
          </w:p>
        </w:tc>
        <w:tc>
          <w:tcPr>
            <w:tcW w:type="dxa" w:w="12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109,3</w:t>
            </w:r>
          </w:p>
        </w:tc>
        <w:tc>
          <w:tcPr>
            <w:tcW w:type="dxa" w:w="12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109,5</w:t>
            </w:r>
          </w:p>
        </w:tc>
        <w:tc>
          <w:tcPr>
            <w:tcW w:type="dxa" w:w="19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109,0</w:t>
            </w:r>
          </w:p>
        </w:tc>
        <w:tc>
          <w:tcPr>
            <w:tcW w:type="dxa" w:w="17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6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Услуги, млн. сомов</w:t>
            </w:r>
          </w:p>
        </w:tc>
        <w:tc>
          <w:tcPr>
            <w:tcW w:type="dxa" w:w="12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260718,7</w:t>
            </w:r>
          </w:p>
        </w:tc>
        <w:tc>
          <w:tcPr>
            <w:tcW w:type="dxa" w:w="12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287375,6</w:t>
            </w:r>
          </w:p>
        </w:tc>
        <w:tc>
          <w:tcPr>
            <w:tcW w:type="dxa" w:w="12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317331,6</w:t>
            </w:r>
          </w:p>
        </w:tc>
        <w:tc>
          <w:tcPr>
            <w:tcW w:type="dxa" w:w="19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288475,3</w:t>
            </w:r>
          </w:p>
        </w:tc>
        <w:tc>
          <w:tcPr>
            <w:tcW w:type="dxa" w:w="17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1,63</w:t>
            </w:r>
          </w:p>
        </w:tc>
      </w:tr>
      <w:tr>
        <w:tc>
          <w:tcPr>
            <w:tcW w:type="dxa" w:w="26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уд. вес в структуре ВВП, %</w:t>
            </w:r>
          </w:p>
        </w:tc>
        <w:tc>
          <w:tcPr>
            <w:tcW w:type="dxa" w:w="12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51,9</w:t>
            </w:r>
          </w:p>
        </w:tc>
        <w:tc>
          <w:tcPr>
            <w:tcW w:type="dxa" w:w="12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52,1</w:t>
            </w:r>
          </w:p>
        </w:tc>
        <w:tc>
          <w:tcPr>
            <w:tcW w:type="dxa" w:w="12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51,9</w:t>
            </w:r>
          </w:p>
        </w:tc>
        <w:tc>
          <w:tcPr>
            <w:tcW w:type="dxa" w:w="19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52,0</w:t>
            </w:r>
          </w:p>
        </w:tc>
        <w:tc>
          <w:tcPr>
            <w:tcW w:type="dxa" w:w="17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6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темпы реального роста, %</w:t>
            </w:r>
          </w:p>
        </w:tc>
        <w:tc>
          <w:tcPr>
            <w:tcW w:type="dxa" w:w="12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12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12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19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17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6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Налоги на продукты и импорт, млн. сомов</w:t>
            </w:r>
          </w:p>
        </w:tc>
        <w:tc>
          <w:tcPr>
            <w:tcW w:type="dxa" w:w="12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60752,0</w:t>
            </w:r>
          </w:p>
        </w:tc>
        <w:tc>
          <w:tcPr>
            <w:tcW w:type="dxa" w:w="12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66726,6</w:t>
            </w:r>
          </w:p>
        </w:tc>
        <w:tc>
          <w:tcPr>
            <w:tcW w:type="dxa" w:w="12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73903,6</w:t>
            </w:r>
          </w:p>
        </w:tc>
        <w:tc>
          <w:tcPr>
            <w:tcW w:type="dxa" w:w="19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67127,4</w:t>
            </w:r>
          </w:p>
        </w:tc>
        <w:tc>
          <w:tcPr>
            <w:tcW w:type="dxa" w:w="17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0,39</w:t>
            </w:r>
          </w:p>
        </w:tc>
      </w:tr>
      <w:tr>
        <w:tc>
          <w:tcPr>
            <w:tcW w:type="dxa" w:w="26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уд. вес в структуре ВВП, %</w:t>
            </w:r>
          </w:p>
        </w:tc>
        <w:tc>
          <w:tcPr>
            <w:tcW w:type="dxa" w:w="12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12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12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19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17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6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Темпы реального роста ВВП, %</w:t>
            </w:r>
          </w:p>
        </w:tc>
        <w:tc>
          <w:tcPr>
            <w:tcW w:type="dxa" w:w="12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12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12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19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17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w:t>
            </w:r>
          </w:p>
        </w:tc>
      </w:tr>
      <w:tr>
        <w:tc>
          <w:tcPr>
            <w:tcW w:type="dxa" w:w="26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Дефлятор ВВП, %</w:t>
            </w:r>
          </w:p>
        </w:tc>
        <w:tc>
          <w:tcPr>
            <w:tcW w:type="dxa" w:w="12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107,5</w:t>
            </w:r>
          </w:p>
        </w:tc>
        <w:tc>
          <w:tcPr>
            <w:tcW w:type="dxa" w:w="12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106,6</w:t>
            </w:r>
          </w:p>
        </w:tc>
        <w:tc>
          <w:tcPr>
            <w:tcW w:type="dxa" w:w="12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19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106,9</w:t>
            </w:r>
          </w:p>
        </w:tc>
        <w:tc>
          <w:tcPr>
            <w:tcW w:type="dxa" w:w="17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Максимальный вклад (1,62 процентного пункта) в среднегодовые темпы экономического роста прогнозируется от работы объектов и предприятий сферы услуг. Реальные вклады промышленного производства, сельского хозяйства и строительства составят 0,11, 0,26 и 0,82 процентного пункта, соответственно.</w:t>
      </w:r>
    </w:p>
    <w:p>
      <w:pPr>
        <w:spacing w:after="60"/>
        <w:ind w:firstLine="567"/>
        <w:jc w:val="both"/>
      </w:pPr>
      <w:r>
        <w:rPr>
          <w:rFonts w:ascii="Arial" w:cs="Arial" w:eastAsia="Arial" w:hAnsi="Arial"/>
          <w:sz w:val="24"/>
          <w:szCs w:val="24"/>
        </w:rPr>
        <w:t xml:space="preserve">В региональном разрезе в пессимистичном сценарии основная доля производства ВВП в 2017-2019 годах будет обеспечиваться за счет функционирования экономик города Бишкек, Чуйской, Иссык-Кульской, Джалал-Абадской областей, суммарный средний вклад которых в ВВП республики составит 2,5 п.п. 76,5% ВВП будет традиционно формироваться в городе Бишкек и Чуйской, Иссык-Кульской, Джалал-Абадской областях.</w:t>
      </w:r>
    </w:p>
    <w:p>
      <w:pPr>
        <w:spacing w:after="120" w:before="200"/>
        <w:ind w:firstLine="567"/>
        <w:jc w:val="left"/>
      </w:pPr>
      <w:r>
        <w:rPr>
          <w:rFonts w:ascii="Arial" w:cs="Arial" w:eastAsia="Arial" w:hAnsi="Arial"/>
          <w:b/>
          <w:bCs/>
          <w:sz w:val="24"/>
          <w:szCs w:val="24"/>
        </w:rPr>
        <w:t xml:space="preserve">Таблица 15. Вклады регионов в производство ВВП</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52"/>
        <w:gridCol w:w="1295"/>
        <w:gridCol w:w="1295"/>
        <w:gridCol w:w="1295"/>
        <w:gridCol w:w="1671"/>
        <w:gridCol w:w="1671"/>
      </w:tblGrid>
      <w:tr>
        <w:tc>
          <w:tcPr>
            <w:tcW w:type="dxa" w:w="295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 прогноз</w:t>
            </w:r>
          </w:p>
        </w:tc>
        <w:tc>
          <w:tcPr>
            <w:tcW w:type="dxa" w:w="129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 прогноз</w:t>
            </w:r>
          </w:p>
        </w:tc>
        <w:tc>
          <w:tcPr>
            <w:tcW w:type="dxa" w:w="129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 прогноз</w:t>
            </w:r>
          </w:p>
        </w:tc>
        <w:tc>
          <w:tcPr>
            <w:tcW w:type="dxa" w:w="167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Среднее значение за 2017-2019 гг., %</w:t>
            </w:r>
          </w:p>
        </w:tc>
        <w:tc>
          <w:tcPr>
            <w:tcW w:type="dxa" w:w="167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Средний вклад, п.п.</w:t>
            </w:r>
          </w:p>
        </w:tc>
      </w:tr>
      <w:tr>
        <w:tc>
          <w:tcPr>
            <w:tcW w:type="dxa" w:w="29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Республика</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502182,5</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551503,0</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611645,5</w:t>
            </w:r>
          </w:p>
        </w:tc>
        <w:tc>
          <w:tcPr>
            <w:tcW w:type="dxa" w:w="1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555110,3</w:t>
            </w:r>
          </w:p>
        </w:tc>
        <w:tc>
          <w:tcPr>
            <w:tcW w:type="dxa" w:w="1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w:t>
            </w:r>
          </w:p>
        </w:tc>
      </w:tr>
      <w:tr>
        <w:tc>
          <w:tcPr>
            <w:tcW w:type="dxa" w:w="29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ВВП, %</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1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1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9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Дефлятор ВВП, %</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107,5</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106,6</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1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106,9</w:t>
            </w:r>
          </w:p>
        </w:tc>
        <w:tc>
          <w:tcPr>
            <w:tcW w:type="dxa" w:w="1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9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20662,9</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22588,5</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24763,7</w:t>
            </w:r>
          </w:p>
        </w:tc>
        <w:tc>
          <w:tcPr>
            <w:tcW w:type="dxa" w:w="1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22671,7</w:t>
            </w:r>
          </w:p>
        </w:tc>
        <w:tc>
          <w:tcPr>
            <w:tcW w:type="dxa" w:w="1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w:t>
            </w:r>
          </w:p>
        </w:tc>
      </w:tr>
      <w:tr>
        <w:tc>
          <w:tcPr>
            <w:tcW w:type="dxa" w:w="29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1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1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9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доля в ВВП, %</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1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1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9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57953,8</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64330,0</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71683,3</w:t>
            </w:r>
          </w:p>
        </w:tc>
        <w:tc>
          <w:tcPr>
            <w:tcW w:type="dxa" w:w="1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64655,7</w:t>
            </w:r>
          </w:p>
        </w:tc>
        <w:tc>
          <w:tcPr>
            <w:tcW w:type="dxa" w:w="1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0,49</w:t>
            </w:r>
          </w:p>
        </w:tc>
      </w:tr>
      <w:tr>
        <w:tc>
          <w:tcPr>
            <w:tcW w:type="dxa" w:w="29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1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1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9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доля в ВВП, %</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w:t>
            </w:r>
          </w:p>
        </w:tc>
        <w:tc>
          <w:tcPr>
            <w:tcW w:type="dxa" w:w="1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w:t>
            </w:r>
          </w:p>
        </w:tc>
        <w:tc>
          <w:tcPr>
            <w:tcW w:type="dxa" w:w="1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9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61414,9</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66666,2</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73211,8</w:t>
            </w:r>
          </w:p>
        </w:tc>
        <w:tc>
          <w:tcPr>
            <w:tcW w:type="dxa" w:w="1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67097,6</w:t>
            </w:r>
          </w:p>
        </w:tc>
        <w:tc>
          <w:tcPr>
            <w:tcW w:type="dxa" w:w="1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0,32</w:t>
            </w:r>
          </w:p>
        </w:tc>
      </w:tr>
      <w:tr>
        <w:tc>
          <w:tcPr>
            <w:tcW w:type="dxa" w:w="29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1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1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9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доля в ВВП, %</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c>
          <w:tcPr>
            <w:tcW w:type="dxa" w:w="1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1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9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14479,2</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15861,4</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17513,4</w:t>
            </w:r>
          </w:p>
        </w:tc>
        <w:tc>
          <w:tcPr>
            <w:tcW w:type="dxa" w:w="1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15951,3</w:t>
            </w:r>
          </w:p>
        </w:tc>
        <w:tc>
          <w:tcPr>
            <w:tcW w:type="dxa" w:w="1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0,08</w:t>
            </w:r>
          </w:p>
        </w:tc>
      </w:tr>
      <w:tr>
        <w:tc>
          <w:tcPr>
            <w:tcW w:type="dxa" w:w="29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1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1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9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доля в ВВП, %</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1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1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9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38630,6</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42200,6</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46444,8</w:t>
            </w:r>
          </w:p>
        </w:tc>
        <w:tc>
          <w:tcPr>
            <w:tcW w:type="dxa" w:w="1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42425,3</w:t>
            </w:r>
          </w:p>
        </w:tc>
        <w:tc>
          <w:tcPr>
            <w:tcW w:type="dxa" w:w="1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r>
      <w:tr>
        <w:tc>
          <w:tcPr>
            <w:tcW w:type="dxa" w:w="29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1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1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9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доля в ВВП, %</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w:t>
            </w:r>
          </w:p>
        </w:tc>
        <w:tc>
          <w:tcPr>
            <w:tcW w:type="dxa" w:w="1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w:t>
            </w:r>
          </w:p>
        </w:tc>
        <w:tc>
          <w:tcPr>
            <w:tcW w:type="dxa" w:w="1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9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16423,2</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18000,3</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19762,0</w:t>
            </w:r>
          </w:p>
        </w:tc>
        <w:tc>
          <w:tcPr>
            <w:tcW w:type="dxa" w:w="1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18061,8</w:t>
            </w:r>
          </w:p>
        </w:tc>
        <w:tc>
          <w:tcPr>
            <w:tcW w:type="dxa" w:w="1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0,08</w:t>
            </w:r>
          </w:p>
        </w:tc>
      </w:tr>
      <w:tr>
        <w:tc>
          <w:tcPr>
            <w:tcW w:type="dxa" w:w="29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1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1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9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доля в ВВП, %</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1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1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9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80971,3</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89719,4</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100710,7</w:t>
            </w:r>
          </w:p>
        </w:tc>
        <w:tc>
          <w:tcPr>
            <w:tcW w:type="dxa" w:w="1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90467,1</w:t>
            </w:r>
          </w:p>
        </w:tc>
        <w:tc>
          <w:tcPr>
            <w:tcW w:type="dxa" w:w="1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0,82</w:t>
            </w:r>
          </w:p>
        </w:tc>
      </w:tr>
      <w:tr>
        <w:tc>
          <w:tcPr>
            <w:tcW w:type="dxa" w:w="29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w:t>
            </w:r>
          </w:p>
        </w:tc>
        <w:tc>
          <w:tcPr>
            <w:tcW w:type="dxa" w:w="1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1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9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доля в ВВП, %</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16,3</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w:t>
            </w:r>
          </w:p>
        </w:tc>
        <w:tc>
          <w:tcPr>
            <w:tcW w:type="dxa" w:w="1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16,3</w:t>
            </w:r>
          </w:p>
        </w:tc>
        <w:tc>
          <w:tcPr>
            <w:tcW w:type="dxa" w:w="1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9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Бишкек</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183409,7</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201244,8</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223484,4</w:t>
            </w:r>
          </w:p>
        </w:tc>
        <w:tc>
          <w:tcPr>
            <w:tcW w:type="dxa" w:w="1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202713,0</w:t>
            </w:r>
          </w:p>
        </w:tc>
        <w:tc>
          <w:tcPr>
            <w:tcW w:type="dxa" w:w="1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0,91</w:t>
            </w:r>
          </w:p>
        </w:tc>
      </w:tr>
      <w:tr>
        <w:tc>
          <w:tcPr>
            <w:tcW w:type="dxa" w:w="29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1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1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9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доля в ВВП, %</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36,5</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36,5</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36,5</w:t>
            </w:r>
          </w:p>
        </w:tc>
        <w:tc>
          <w:tcPr>
            <w:tcW w:type="dxa" w:w="1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36,5</w:t>
            </w:r>
          </w:p>
        </w:tc>
        <w:tc>
          <w:tcPr>
            <w:tcW w:type="dxa" w:w="1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9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Ош</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28236,9</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30891,8</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34071,4</w:t>
            </w:r>
          </w:p>
        </w:tc>
        <w:tc>
          <w:tcPr>
            <w:tcW w:type="dxa" w:w="1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31066,7</w:t>
            </w:r>
          </w:p>
        </w:tc>
        <w:tc>
          <w:tcPr>
            <w:tcW w:type="dxa" w:w="1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0,17</w:t>
            </w:r>
          </w:p>
        </w:tc>
      </w:tr>
      <w:tr>
        <w:tc>
          <w:tcPr>
            <w:tcW w:type="dxa" w:w="29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1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1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9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доля в ВВП, %</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w:t>
            </w:r>
          </w:p>
        </w:tc>
        <w:tc>
          <w:tcPr>
            <w:tcW w:type="dxa" w:w="12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w:t>
            </w:r>
          </w:p>
        </w:tc>
        <w:tc>
          <w:tcPr>
            <w:tcW w:type="dxa" w:w="1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w:t>
            </w:r>
          </w:p>
        </w:tc>
        <w:tc>
          <w:tcPr>
            <w:tcW w:type="dxa" w:w="16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Успешная реализация экономических приоритетов предполагает скоординированное проведение денежно-кредитной, налогово-бюджетной и инвестиционной политики для обеспечения макроэкономической стабильности, что позволит оказать положительное воздействие на сокращение дефицита государственного бюджета, снизить социальную напряженность в обществе через рост занятости, создать условия для предсказуемости и сдерживания инфляции.</w:t>
      </w:r>
    </w:p>
    <w:p>
      <w:pPr>
        <w:spacing w:after="60" w:before="200"/>
        <w:ind w:firstLine="567"/>
        <w:jc w:val="left"/>
      </w:pPr>
      <w:r>
        <w:rPr>
          <w:rFonts w:ascii="Arial" w:cs="Arial" w:eastAsia="Arial" w:hAnsi="Arial"/>
          <w:b/>
          <w:bCs/>
          <w:sz w:val="24"/>
          <w:szCs w:val="24"/>
        </w:rPr>
        <w:t xml:space="preserve">Денежно-кредитная политика</w:t>
      </w:r>
    </w:p>
    <w:p>
      <w:pPr>
        <w:spacing w:after="60"/>
        <w:ind w:firstLine="567"/>
        <w:jc w:val="both"/>
      </w:pPr>
      <w:r>
        <w:rPr>
          <w:rFonts w:ascii="Arial" w:cs="Arial" w:eastAsia="Arial" w:hAnsi="Arial"/>
          <w:sz w:val="24"/>
          <w:szCs w:val="24"/>
        </w:rPr>
        <w:t xml:space="preserve">Главной целью макроэкономической политики на среднесрочный период является сохранение макроэкономической стабильности посредством достижения и поддержания стабильности цен, которая, в свою очередь, является фундаментальным фактором, определяющим возможности экономического роста в Кыргызской Республике, за счет проведения соответствующей денежно-кредитной политики.</w:t>
      </w:r>
    </w:p>
    <w:p>
      <w:pPr>
        <w:spacing w:after="60"/>
        <w:ind w:firstLine="567"/>
        <w:jc w:val="both"/>
      </w:pPr>
      <w:r>
        <w:rPr>
          <w:rFonts w:ascii="Arial" w:cs="Arial" w:eastAsia="Arial" w:hAnsi="Arial"/>
          <w:sz w:val="24"/>
          <w:szCs w:val="24"/>
        </w:rPr>
        <w:t xml:space="preserve">Для этого Национальный банк будет проводить денежно-кредитную политику в рамках Основных направлений денежно-кредитной политики на среднесрочный период (постановление правления Национального банка от 17 декабря 2014 года № 55/3), где основной целью будет сохранение умеренных темпов инфляции, как одного из основных условий устойчивого экономического роста в среднесрочной перспективе. Количественным ориентиром денежно-кредитной политики будет удержание уровня инфляции на уровне однозначного показателя, определенного НСУР.</w:t>
      </w:r>
    </w:p>
    <w:p>
      <w:pPr>
        <w:spacing w:after="60"/>
        <w:ind w:firstLine="567"/>
        <w:jc w:val="both"/>
      </w:pPr>
      <w:r>
        <w:rPr>
          <w:rFonts w:ascii="Arial" w:cs="Arial" w:eastAsia="Arial" w:hAnsi="Arial"/>
          <w:sz w:val="24"/>
          <w:szCs w:val="24"/>
        </w:rPr>
        <w:t xml:space="preserve">В среднесрочной перспективе основные инфляционные риски, преимущественно связанные с членством Кыргызской Республики и новыми условиями ЕАЭС, могут оказать повышающее давление на динамику потребительских цен.</w:t>
      </w:r>
    </w:p>
    <w:p>
      <w:pPr>
        <w:spacing w:after="60"/>
        <w:ind w:firstLine="567"/>
        <w:jc w:val="both"/>
      </w:pPr>
      <w:r>
        <w:rPr>
          <w:rFonts w:ascii="Arial" w:cs="Arial" w:eastAsia="Arial" w:hAnsi="Arial"/>
          <w:sz w:val="24"/>
          <w:szCs w:val="24"/>
        </w:rPr>
        <w:t xml:space="preserve">Национальный банк продолжит работу по развитию основы денежно-кредитной политики, использующей учетную ставку Национального банка в качестве промежуточного ориентира политики и модернизации используемых инструментов денежно-кредитной политики. Это позволит далее усилить работу процентного трансмиссионного канала и воздействие учетной ставки Национального банка на рыночные ставки.</w:t>
      </w:r>
    </w:p>
    <w:p>
      <w:pPr>
        <w:spacing w:after="60"/>
        <w:ind w:firstLine="567"/>
        <w:jc w:val="both"/>
      </w:pPr>
      <w:r>
        <w:rPr>
          <w:rFonts w:ascii="Arial" w:cs="Arial" w:eastAsia="Arial" w:hAnsi="Arial"/>
          <w:sz w:val="24"/>
          <w:szCs w:val="24"/>
        </w:rPr>
        <w:t xml:space="preserve">Национальный банк продолжит реализацию ключевых задач, определенных НСУР, в части развития конкурентной среды в финансовом секторе, внедрения механизмов по снижению процентных ставок по кредитам, выдаваемым коммерческими банками, что создаст условия для повышения уровня финансового посредничества финансово-кредитных учреждений.</w:t>
      </w:r>
    </w:p>
    <w:p>
      <w:pPr>
        <w:spacing w:after="60"/>
        <w:ind w:firstLine="567"/>
        <w:jc w:val="both"/>
      </w:pPr>
      <w:r>
        <w:rPr>
          <w:rFonts w:ascii="Arial" w:cs="Arial" w:eastAsia="Arial" w:hAnsi="Arial"/>
          <w:sz w:val="24"/>
          <w:szCs w:val="24"/>
        </w:rPr>
        <w:t xml:space="preserve">С целью усиления передаточного механизма денежно-кредитной политики Национальным банком будет продолжено осуществление мероприятий по увеличению доли безналичных расчетов. В этом направлении Национальный банк будет осуществлять дальнейшую координацию и контроль за реализацией мероприятий Государственной программы по увеличению доли безналичных платежей и расчетов в Кыргызской Республике на 2012-2017 годы (постановление Правительства Кыргызской Республики от 14 мая 2012 года № 289/5/1). Приоритетным направлением является развитие рынка розничных платежей, увеличение степени оказания платежных услуг на территории Кыргызской Республики.</w:t>
      </w:r>
    </w:p>
    <w:p>
      <w:pPr>
        <w:spacing w:after="60"/>
        <w:ind w:firstLine="567"/>
        <w:jc w:val="both"/>
      </w:pPr>
      <w:r>
        <w:rPr>
          <w:rFonts w:ascii="Arial" w:cs="Arial" w:eastAsia="Arial" w:hAnsi="Arial"/>
          <w:sz w:val="24"/>
          <w:szCs w:val="24"/>
        </w:rPr>
        <w:t xml:space="preserve">Разработка денежно-кредитной политики будет осуществляться на основе таргетирования процентных ставок, которое позволит Национальному банку влиять на краткосрочные рыночные ставки, что создаст условия для сближения процентных ставок денежного и кредитного рынков. В качестве промежуточного ориентира денежно-кредитной политики будет выступать учетная ставка Национального банка, которая является ориентиром стоимости средств на денежном рынке.</w:t>
      </w:r>
    </w:p>
    <w:p>
      <w:pPr>
        <w:spacing w:after="60"/>
        <w:ind w:firstLine="567"/>
        <w:jc w:val="both"/>
      </w:pPr>
      <w:r>
        <w:rPr>
          <w:rFonts w:ascii="Arial" w:cs="Arial" w:eastAsia="Arial" w:hAnsi="Arial"/>
          <w:sz w:val="24"/>
          <w:szCs w:val="24"/>
        </w:rPr>
        <w:t xml:space="preserve">Операционным ориентиром денежно-кредитной политики будут являться процентные ставки денежного рынка. Национальный банк будет определять значения процентных ставок коридора вокруг учетной ставки. В качестве нижнего уровня коридора ставок будет выступать ставка по денежно-кредитному инструменту Национального банка "депозит "овернайт", в качестве верхнего уровня - ставка по денежно-кредитному инструменту "кредит "овернайт".</w:t>
      </w:r>
    </w:p>
    <w:p>
      <w:pPr>
        <w:spacing w:after="60"/>
        <w:ind w:firstLine="567"/>
        <w:jc w:val="both"/>
      </w:pPr>
      <w:r>
        <w:rPr>
          <w:rFonts w:ascii="Arial" w:cs="Arial" w:eastAsia="Arial" w:hAnsi="Arial"/>
          <w:sz w:val="24"/>
          <w:szCs w:val="24"/>
        </w:rPr>
        <w:t xml:space="preserve">При реализации денежно-кредитной политики Национальный банк будет использовать весь спектр инструментов денежно-кредитной политики. При необходимости, будут модифицированы уже существующие и внедрены новые инструменты.</w:t>
      </w:r>
    </w:p>
    <w:p>
      <w:pPr>
        <w:spacing w:after="60"/>
        <w:ind w:firstLine="567"/>
        <w:jc w:val="both"/>
      </w:pPr>
      <w:r>
        <w:rPr>
          <w:rFonts w:ascii="Arial" w:cs="Arial" w:eastAsia="Arial" w:hAnsi="Arial"/>
          <w:sz w:val="24"/>
          <w:szCs w:val="24"/>
        </w:rPr>
        <w:t xml:space="preserve">Валютная политика по-прежнему будет проводиться в соответствии с выбранным в стране режимом плавающего обменного курса. Проведение интервенций будет осуществляться только в целях смягчения резких колебаний обменного курса. Управление международными резервами будет осуществляться с учетом соблюдения основных принципов поддержания ликвидности и обеспечения безопасности резервных активов. В целях пополнения объема международных резервов с учетом ситуации на мировых финансовых рынках будет продолжена работа по проведению операций по покупке золота на внутреннем рынке страны за национальную валюту.</w:t>
      </w:r>
    </w:p>
    <w:p>
      <w:pPr>
        <w:spacing w:after="60"/>
        <w:ind w:firstLine="567"/>
        <w:jc w:val="both"/>
      </w:pPr>
      <w:r>
        <w:rPr>
          <w:rFonts w:ascii="Arial" w:cs="Arial" w:eastAsia="Arial" w:hAnsi="Arial"/>
          <w:sz w:val="24"/>
          <w:szCs w:val="24"/>
        </w:rPr>
        <w:t xml:space="preserve">В целях ограничения валютных рисков в финансовом секторе страны будут реализовываться меры по снижению уровня долларизации экономики. Для стимулирования использования национальной валюты, как средства сбережения, продолжится работа по применению дифференцированного подхода к установлению норм обязательных резервных требований по обязательствам в национальной и иностранной валютах. Будет продолжена работа по ужесточению требований к новым валютным кредитам. Одной из мер по дедолларизации экономики будет дальнейшее развитие рынка золотых мерных слитков в целях предоставления альтернативных инструментов сбережений и инвестирования для населения.</w:t>
      </w:r>
    </w:p>
    <w:p>
      <w:pPr>
        <w:spacing w:after="60" w:before="200"/>
        <w:ind w:firstLine="567"/>
        <w:jc w:val="left"/>
      </w:pPr>
      <w:r>
        <w:rPr>
          <w:rFonts w:ascii="Arial" w:cs="Arial" w:eastAsia="Arial" w:hAnsi="Arial"/>
          <w:b/>
          <w:bCs/>
          <w:sz w:val="24"/>
          <w:szCs w:val="24"/>
        </w:rPr>
        <w:t xml:space="preserve">Фискальная политика</w:t>
      </w:r>
    </w:p>
    <w:p>
      <w:pPr>
        <w:spacing w:after="60"/>
        <w:ind w:firstLine="567"/>
        <w:jc w:val="both"/>
      </w:pPr>
      <w:r>
        <w:rPr>
          <w:rFonts w:ascii="Arial" w:cs="Arial" w:eastAsia="Arial" w:hAnsi="Arial"/>
          <w:sz w:val="24"/>
          <w:szCs w:val="24"/>
        </w:rPr>
        <w:t xml:space="preserve">Целью фискальной политики Кыргызской Республики на 2015-2020 годы является максимально возможная реализация в повседневной практике государственного управления главных принципов, установленных налоговым законодательством страны: справедливое и прозрачное взимание обязательных платежей в бюджет по законным, точно установленным правилам, минимально обременяющим налогоплательщика в соответствии с Концепцией фискальной политики Кыргызской Республики на 2015-2020 годы (постановление Правительства Кыргызской Республики от 7 июля 2015 года № 455).</w:t>
      </w:r>
    </w:p>
    <w:p>
      <w:pPr>
        <w:spacing w:after="60"/>
        <w:ind w:firstLine="567"/>
        <w:jc w:val="both"/>
      </w:pPr>
      <w:r>
        <w:rPr>
          <w:rFonts w:ascii="Arial" w:cs="Arial" w:eastAsia="Arial" w:hAnsi="Arial"/>
          <w:sz w:val="24"/>
          <w:szCs w:val="24"/>
        </w:rPr>
        <w:t xml:space="preserve">Для достижения поставленной цели основными задачами фискальной политики являются:</w:t>
      </w:r>
    </w:p>
    <w:p>
      <w:pPr>
        <w:spacing w:after="60"/>
        <w:ind w:firstLine="567"/>
        <w:jc w:val="both"/>
      </w:pPr>
      <w:r>
        <w:rPr>
          <w:rFonts w:ascii="Arial" w:cs="Arial" w:eastAsia="Arial" w:hAnsi="Arial"/>
          <w:sz w:val="24"/>
          <w:szCs w:val="24"/>
        </w:rPr>
        <w:t xml:space="preserve">1) повышение качества государственного управления и принятия решений в области фискальной политики;</w:t>
      </w:r>
    </w:p>
    <w:p>
      <w:pPr>
        <w:spacing w:after="60"/>
        <w:ind w:firstLine="567"/>
        <w:jc w:val="both"/>
      </w:pPr>
      <w:r>
        <w:rPr>
          <w:rFonts w:ascii="Arial" w:cs="Arial" w:eastAsia="Arial" w:hAnsi="Arial"/>
          <w:sz w:val="24"/>
          <w:szCs w:val="24"/>
        </w:rPr>
        <w:t xml:space="preserve">2) максимально возможное выравнивание налоговой нагрузки субъектов разных секторов и отраслей экономики и субъектов, применяющих разные режимы налогообложения;</w:t>
      </w:r>
    </w:p>
    <w:p>
      <w:pPr>
        <w:spacing w:after="60"/>
        <w:ind w:firstLine="567"/>
        <w:jc w:val="both"/>
      </w:pPr>
      <w:r>
        <w:rPr>
          <w:rFonts w:ascii="Arial" w:cs="Arial" w:eastAsia="Arial" w:hAnsi="Arial"/>
          <w:sz w:val="24"/>
          <w:szCs w:val="24"/>
        </w:rPr>
        <w:t xml:space="preserve">3) дальнейшее совершенствование законодательства по обязательным платежам и их администрированию, позволяющее налогоплательщику с наименьшими временными и трудовыми затратами исполнить свои обязательства, а должностным лицам уполномоченных государственных органов - осуществлять эффективное администрирование;</w:t>
      </w:r>
    </w:p>
    <w:p>
      <w:pPr>
        <w:spacing w:after="60"/>
        <w:ind w:firstLine="567"/>
        <w:jc w:val="both"/>
      </w:pPr>
      <w:r>
        <w:rPr>
          <w:rFonts w:ascii="Arial" w:cs="Arial" w:eastAsia="Arial" w:hAnsi="Arial"/>
          <w:sz w:val="24"/>
          <w:szCs w:val="24"/>
        </w:rPr>
        <w:t xml:space="preserve">4) развитие существующих и освоение новых инструментов администрирования, обеспечивающих повышение эффективности и успешную интеграцию с государствами-членами Евразийского экономического союза;</w:t>
      </w:r>
    </w:p>
    <w:p>
      <w:pPr>
        <w:spacing w:after="60"/>
        <w:ind w:firstLine="567"/>
        <w:jc w:val="both"/>
      </w:pPr>
      <w:r>
        <w:rPr>
          <w:rFonts w:ascii="Arial" w:cs="Arial" w:eastAsia="Arial" w:hAnsi="Arial"/>
          <w:sz w:val="24"/>
          <w:szCs w:val="24"/>
        </w:rPr>
        <w:t xml:space="preserve">5) постоянное обогащение практики взимания обязательных платежей новыми механизмами администрирования, внедряемыми по результатам изучения лучших мировых практик с учетом особенностей и потребностей страны;</w:t>
      </w:r>
    </w:p>
    <w:p>
      <w:pPr>
        <w:spacing w:after="60"/>
        <w:ind w:firstLine="567"/>
        <w:jc w:val="both"/>
      </w:pPr>
      <w:r>
        <w:rPr>
          <w:rFonts w:ascii="Arial" w:cs="Arial" w:eastAsia="Arial" w:hAnsi="Arial"/>
          <w:sz w:val="24"/>
          <w:szCs w:val="24"/>
        </w:rPr>
        <w:t xml:space="preserve">6) разработка и реализация первого этапа долгосрочной государственной программы формирования налоговой культуры и повышения налоговой грамотности налогоплательщиков, в том числе государственных служащих.</w:t>
      </w:r>
    </w:p>
    <w:p>
      <w:pPr>
        <w:spacing w:after="60" w:before="200"/>
        <w:ind w:firstLine="567"/>
        <w:jc w:val="left"/>
      </w:pPr>
      <w:r>
        <w:rPr>
          <w:rFonts w:ascii="Arial" w:cs="Arial" w:eastAsia="Arial" w:hAnsi="Arial"/>
          <w:b/>
          <w:bCs/>
          <w:sz w:val="24"/>
          <w:szCs w:val="24"/>
        </w:rPr>
        <w:t xml:space="preserve">Бюджетная политика</w:t>
      </w:r>
    </w:p>
    <w:p>
      <w:pPr>
        <w:spacing w:after="60"/>
        <w:ind w:firstLine="567"/>
        <w:jc w:val="both"/>
      </w:pPr>
      <w:r>
        <w:rPr>
          <w:rFonts w:ascii="Arial" w:cs="Arial" w:eastAsia="Arial" w:hAnsi="Arial"/>
          <w:sz w:val="24"/>
          <w:szCs w:val="24"/>
        </w:rPr>
        <w:t xml:space="preserve">Основной целью бюджетной политики на среднесрочный период является достижение бюджетной устойчивости, построение эффективной и прозрачной бюджетной системы, повышение эффективности использования государственных бюджетных средств, ориентация на стимулирование экономического роста, результативность бюджетных расходов и повышение качества предоставляемых услуг, обеспечение потребности в финансировании в рамках перехода к устойчивому развитию, с учетом формирования оптимизированной структуры государственного долга.</w:t>
      </w:r>
    </w:p>
    <w:p>
      <w:pPr>
        <w:spacing w:after="60"/>
        <w:ind w:firstLine="567"/>
        <w:jc w:val="both"/>
      </w:pPr>
      <w:r>
        <w:rPr>
          <w:rFonts w:ascii="Arial" w:cs="Arial" w:eastAsia="Arial" w:hAnsi="Arial"/>
          <w:sz w:val="24"/>
          <w:szCs w:val="24"/>
        </w:rPr>
        <w:t xml:space="preserve">Бюджетная политика на среднесрочный период будет сфокусирована на следующих приоритетных направлениях: (1) обеспечение бюджетной устойчивости; (2) реформирование системы управления государственными финансами; (3) сохранение устойчивости государственного внешнего долга и увеличение объемов внутреннего заимствования.</w:t>
      </w:r>
    </w:p>
    <w:p>
      <w:pPr>
        <w:spacing w:after="60"/>
        <w:ind w:firstLine="567"/>
        <w:jc w:val="both"/>
      </w:pPr>
      <w:r>
        <w:rPr>
          <w:rFonts w:ascii="Arial" w:cs="Arial" w:eastAsia="Arial" w:hAnsi="Arial"/>
          <w:sz w:val="24"/>
          <w:szCs w:val="24"/>
        </w:rPr>
        <w:t xml:space="preserve">Приоритетное направление по обеспечению бюджетной устойчивости будет ориентировано на решение следующих задач: увеличение ресурсного потенциала бюджета; оптимизация государственных расходов; сокращение дефицита бюджета.</w:t>
      </w:r>
    </w:p>
    <w:p>
      <w:pPr>
        <w:spacing w:after="60"/>
        <w:ind w:firstLine="567"/>
        <w:jc w:val="both"/>
      </w:pPr>
      <w:r>
        <w:rPr>
          <w:rFonts w:ascii="Arial" w:cs="Arial" w:eastAsia="Arial" w:hAnsi="Arial"/>
          <w:sz w:val="24"/>
          <w:szCs w:val="24"/>
        </w:rPr>
        <w:t xml:space="preserve">Для реализации указанных направлений будут приняты следующие меры:</w:t>
      </w:r>
    </w:p>
    <w:p>
      <w:pPr>
        <w:spacing w:after="60"/>
        <w:ind w:firstLine="567"/>
        <w:jc w:val="both"/>
      </w:pPr>
      <w:r>
        <w:rPr>
          <w:rFonts w:ascii="Arial" w:cs="Arial" w:eastAsia="Arial" w:hAnsi="Arial"/>
          <w:sz w:val="24"/>
          <w:szCs w:val="24"/>
        </w:rPr>
        <w:t xml:space="preserve">- совершенствование процесса планирования бюджета; переход от социально ориентированного бюджета к бюджету развития; сокращение государственных расходов и сдерживание принятия новых расходных инициатив, не имеющих соответствующего финансового подкрепления;</w:t>
      </w:r>
    </w:p>
    <w:p>
      <w:pPr>
        <w:spacing w:after="60"/>
        <w:ind w:firstLine="567"/>
        <w:jc w:val="both"/>
      </w:pPr>
      <w:r>
        <w:rPr>
          <w:rFonts w:ascii="Arial" w:cs="Arial" w:eastAsia="Arial" w:hAnsi="Arial"/>
          <w:sz w:val="24"/>
          <w:szCs w:val="24"/>
        </w:rPr>
        <w:t xml:space="preserve">- усиление бюджетной дисциплины; обеспечение сбалансированности бюджета, основанного на принципе "жить по средствам"; усиление контроля за эффективностью государственных расходов;</w:t>
      </w:r>
    </w:p>
    <w:p>
      <w:pPr>
        <w:spacing w:after="60"/>
        <w:ind w:firstLine="567"/>
        <w:jc w:val="both"/>
      </w:pPr>
      <w:r>
        <w:rPr>
          <w:rFonts w:ascii="Arial" w:cs="Arial" w:eastAsia="Arial" w:hAnsi="Arial"/>
          <w:sz w:val="24"/>
          <w:szCs w:val="24"/>
        </w:rPr>
        <w:t xml:space="preserve">- определение финансовых и нефинансовых индикаторов эффективности использования бюджетных средств;</w:t>
      </w:r>
    </w:p>
    <w:p>
      <w:pPr>
        <w:spacing w:after="60"/>
        <w:ind w:firstLine="567"/>
        <w:jc w:val="both"/>
      </w:pPr>
      <w:r>
        <w:rPr>
          <w:rFonts w:ascii="Arial" w:cs="Arial" w:eastAsia="Arial" w:hAnsi="Arial"/>
          <w:sz w:val="24"/>
          <w:szCs w:val="24"/>
        </w:rPr>
        <w:t xml:space="preserve">- повышение заинтересованности органов местного самоуправления в увеличении доходного потенциала и улучшении эффективности расходов; повышении роли и ответственности органов местного самоуправления по управлению местными бюджетами; поэтапном снижении дотационности местных бюджетов;</w:t>
      </w:r>
    </w:p>
    <w:p>
      <w:pPr>
        <w:spacing w:after="60"/>
        <w:ind w:firstLine="567"/>
        <w:jc w:val="both"/>
      </w:pPr>
      <w:r>
        <w:rPr>
          <w:rFonts w:ascii="Arial" w:cs="Arial" w:eastAsia="Arial" w:hAnsi="Arial"/>
          <w:sz w:val="24"/>
          <w:szCs w:val="24"/>
        </w:rPr>
        <w:t xml:space="preserve">- проведении электронных торгов при осуществлении государственных закупок и интегрирование системы электронных закупок в бюджетный процесс;</w:t>
      </w:r>
    </w:p>
    <w:p>
      <w:pPr>
        <w:spacing w:after="60"/>
        <w:ind w:firstLine="567"/>
        <w:jc w:val="both"/>
      </w:pPr>
      <w:r>
        <w:rPr>
          <w:rFonts w:ascii="Arial" w:cs="Arial" w:eastAsia="Arial" w:hAnsi="Arial"/>
          <w:sz w:val="24"/>
          <w:szCs w:val="24"/>
        </w:rPr>
        <w:t xml:space="preserve">- проведение реструктуризации двустороннего внешнего долга в рамках реализации Протокола Парижского клуба 2005 года; инициирование механизма конверсионных операций с двусторонним долгом Кыргызской Республики;</w:t>
      </w:r>
    </w:p>
    <w:p>
      <w:pPr>
        <w:spacing w:after="60"/>
        <w:ind w:firstLine="567"/>
        <w:jc w:val="both"/>
      </w:pPr>
      <w:r>
        <w:rPr>
          <w:rFonts w:ascii="Arial" w:cs="Arial" w:eastAsia="Arial" w:hAnsi="Arial"/>
          <w:sz w:val="24"/>
          <w:szCs w:val="24"/>
        </w:rPr>
        <w:t xml:space="preserve">- финансирование потребности бюджета исключительно за счет выпуска и размещения рыночных инструментов государственного внутреннего заимствования.</w:t>
      </w:r>
    </w:p>
    <w:p>
      <w:pPr>
        <w:spacing w:after="60" w:before="200"/>
        <w:ind w:firstLine="567"/>
        <w:jc w:val="left"/>
      </w:pPr>
      <w:r>
        <w:rPr>
          <w:rFonts w:ascii="Arial" w:cs="Arial" w:eastAsia="Arial" w:hAnsi="Arial"/>
          <w:b/>
          <w:bCs/>
          <w:sz w:val="24"/>
          <w:szCs w:val="24"/>
        </w:rPr>
        <w:t xml:space="preserve">Бюджет развития</w:t>
      </w:r>
    </w:p>
    <w:p>
      <w:pPr>
        <w:spacing w:after="60"/>
        <w:ind w:firstLine="567"/>
        <w:jc w:val="both"/>
      </w:pPr>
      <w:r>
        <w:rPr>
          <w:rFonts w:ascii="Arial" w:cs="Arial" w:eastAsia="Arial" w:hAnsi="Arial"/>
          <w:sz w:val="24"/>
          <w:szCs w:val="24"/>
        </w:rPr>
        <w:t xml:space="preserve">Средства бюджета развития используется для развития государственных приоритетных социально-экономических значимых объектов.</w:t>
      </w:r>
    </w:p>
    <w:p>
      <w:pPr>
        <w:spacing w:after="60"/>
        <w:ind w:firstLine="567"/>
        <w:jc w:val="both"/>
      </w:pPr>
      <w:r>
        <w:rPr>
          <w:rFonts w:ascii="Arial" w:cs="Arial" w:eastAsia="Arial" w:hAnsi="Arial"/>
          <w:sz w:val="24"/>
          <w:szCs w:val="24"/>
        </w:rPr>
        <w:t xml:space="preserve">За последние годы большая часть финансовых средств за счет капитальных вложений направлялась в первоочередном порядке на строительство и реконструкцию социальных объектов (объекты образования, здравоохранения), восстановление аварийных объектов. Рост объемов строительства и реконструкции пока показывает невысокую эффективность в целом.</w:t>
      </w:r>
    </w:p>
    <w:p>
      <w:pPr>
        <w:spacing w:after="60"/>
        <w:ind w:firstLine="567"/>
        <w:jc w:val="both"/>
      </w:pPr>
      <w:r>
        <w:rPr>
          <w:rFonts w:ascii="Arial" w:cs="Arial" w:eastAsia="Arial" w:hAnsi="Arial"/>
          <w:sz w:val="24"/>
          <w:szCs w:val="24"/>
        </w:rPr>
        <w:t xml:space="preserve">В этой связи в последующие годы государственные капитальные вложения будут направляться для финансирования объектов строительства с высокой строительной готовностью, а также будет минимизировано новое строительство в целях уменьшения объема незавершенного строительства и долгостроев.</w:t>
      </w:r>
    </w:p>
    <w:p>
      <w:pPr>
        <w:spacing w:after="60"/>
        <w:ind w:firstLine="567"/>
        <w:jc w:val="both"/>
      </w:pPr>
      <w:r>
        <w:rPr>
          <w:rFonts w:ascii="Arial" w:cs="Arial" w:eastAsia="Arial" w:hAnsi="Arial"/>
          <w:sz w:val="24"/>
          <w:szCs w:val="24"/>
        </w:rPr>
        <w:t xml:space="preserve">Вместе с тем, государственные капитальные вложения будут направлены для обеспечения устойчивого экономического развития регионов республики, совершенствования оптимального планирования и распределения капитальных вложений в наиболее приоритетные инвестиционные проекты с учетом концепции регионального развития и отраслевых экономических программ. Основными задачами по совершенствованию и развитию финансирования за счет государственных капитальных вложений будут:</w:t>
      </w:r>
    </w:p>
    <w:p>
      <w:pPr>
        <w:spacing w:after="60"/>
        <w:ind w:firstLine="567"/>
        <w:jc w:val="both"/>
      </w:pPr>
      <w:r>
        <w:rPr>
          <w:rFonts w:ascii="Arial" w:cs="Arial" w:eastAsia="Arial" w:hAnsi="Arial"/>
          <w:sz w:val="24"/>
          <w:szCs w:val="24"/>
        </w:rPr>
        <w:t xml:space="preserve">- осуществление формирования перечней приоритетных бюджетных инвестиционных проектов на основании действующих и разрабатываемых государственных, отраслевых (секторальных) и региональных программ;</w:t>
      </w:r>
    </w:p>
    <w:p>
      <w:pPr>
        <w:spacing w:after="60"/>
        <w:ind w:firstLine="567"/>
        <w:jc w:val="both"/>
      </w:pPr>
      <w:r>
        <w:rPr>
          <w:rFonts w:ascii="Arial" w:cs="Arial" w:eastAsia="Arial" w:hAnsi="Arial"/>
          <w:sz w:val="24"/>
          <w:szCs w:val="24"/>
        </w:rPr>
        <w:t xml:space="preserve">- разработка перечня приоритетных республиканских бюджетных инвестиционных проектов и перечня приоритетных местных бюджетных инвестиционных проектов ежегодно на трехлетний период в составе среднесрочного плана социально-экономического развития, которые будут служить основой для разработки республиканского и местных бюджетов соответственно в части определения перечня и объемов финансирования бюджетных программ развития.</w:t>
      </w:r>
    </w:p>
    <w:p>
      <w:pPr>
        <w:spacing w:after="60"/>
        <w:ind w:firstLine="567"/>
        <w:jc w:val="both"/>
      </w:pPr>
      <w:r>
        <w:rPr>
          <w:rFonts w:ascii="Arial" w:cs="Arial" w:eastAsia="Arial" w:hAnsi="Arial"/>
          <w:sz w:val="24"/>
          <w:szCs w:val="24"/>
        </w:rPr>
        <w:t xml:space="preserve">В последующие годы при увеличении ресурсов для государственных капитальных вложений планируется финансирование завершения строительства ранее начатых объектов образования, здравоохранения, культуры и спорта, будет продолжаться финансирование строительства и развитие социальной и инженерной инфраструктуры гор. Бишкек, также планируется в приоритетном порядке финансирование строительства автомобильных дорог стратегического значения, в том числе строительства автодороги Каракол-Тюп-Кеген и автодорог, находящихся в приграничных районах республики (автодорога в Баткенской области), в соответствии с государственной программой строительства водохозяйственных сооружений будет продолжаться финансирование завершения строительства ирригационных каналов, которое позволит осваивать значительные площади новых орошаемых земель в Баткенской, Нарынской, Таласской и других областях Кыргызской Республики.</w:t>
      </w:r>
    </w:p>
    <w:p>
      <w:pPr>
        <w:spacing w:after="60" w:before="200"/>
        <w:ind w:firstLine="567"/>
        <w:jc w:val="left"/>
      </w:pPr>
      <w:r>
        <w:rPr>
          <w:rFonts w:ascii="Arial" w:cs="Arial" w:eastAsia="Arial" w:hAnsi="Arial"/>
          <w:b/>
          <w:bCs/>
          <w:sz w:val="24"/>
          <w:szCs w:val="24"/>
        </w:rPr>
        <w:t xml:space="preserve">Инвестиционная политика</w:t>
      </w:r>
    </w:p>
    <w:p>
      <w:pPr>
        <w:spacing w:after="60"/>
        <w:ind w:firstLine="567"/>
        <w:jc w:val="both"/>
      </w:pPr>
      <w:r>
        <w:rPr>
          <w:rFonts w:ascii="Arial" w:cs="Arial" w:eastAsia="Arial" w:hAnsi="Arial"/>
          <w:sz w:val="24"/>
          <w:szCs w:val="24"/>
        </w:rPr>
        <w:t xml:space="preserve">Основной задачей в проведении инвестиционной политики на среднесрочный период является повышение привлекательности инвестиционного климата в Кыргызской Республике, включая обеспечение защиты прав собственников и участников экономических отношений.</w:t>
      </w:r>
    </w:p>
    <w:p>
      <w:pPr>
        <w:spacing w:after="60"/>
        <w:ind w:firstLine="567"/>
        <w:jc w:val="both"/>
      </w:pPr>
      <w:r>
        <w:rPr>
          <w:rFonts w:ascii="Arial" w:cs="Arial" w:eastAsia="Arial" w:hAnsi="Arial"/>
          <w:sz w:val="24"/>
          <w:szCs w:val="24"/>
        </w:rPr>
        <w:t xml:space="preserve">Анализ поступления прямых иностранных инвестиций по видам экономической деятельности показывает неравномерность концентрации инвестиций в различных секторах экономики. Основной поток прямых иностранных инвестиций направлен в виды деятельности, обеспечивающие быстрый возврат инвестиционных вложений.</w:t>
      </w:r>
    </w:p>
    <w:p>
      <w:pPr>
        <w:spacing w:after="60"/>
        <w:ind w:firstLine="567"/>
        <w:jc w:val="both"/>
      </w:pPr>
      <w:r>
        <w:rPr>
          <w:rFonts w:ascii="Arial" w:cs="Arial" w:eastAsia="Arial" w:hAnsi="Arial"/>
          <w:sz w:val="24"/>
          <w:szCs w:val="24"/>
        </w:rPr>
        <w:t xml:space="preserve">Динамика поступления прямых иностранных инвестиций по секторам экономики показывает, что инвестиции в Кыргызскую Республику сосредоточены в основном в двух видах экономической деятельности: в профессиональной, научной и технической деятельности (30,7%) и обрабатывающей промышленности (26,4%), что в совокупности составляет 57,1% от общего объема инвестиций. В остальных секторах поступления носят неравномерный характер.</w:t>
      </w:r>
    </w:p>
    <w:p>
      <w:pPr>
        <w:spacing w:after="60"/>
        <w:ind w:firstLine="567"/>
        <w:jc w:val="both"/>
      </w:pPr>
      <w:r>
        <w:rPr>
          <w:rFonts w:ascii="Arial" w:cs="Arial" w:eastAsia="Arial" w:hAnsi="Arial"/>
          <w:sz w:val="24"/>
          <w:szCs w:val="24"/>
        </w:rPr>
        <w:t xml:space="preserve">Динамика поступления прямых иностранных инвестиций показывает высокую степень чувствительности к политическим рискам в сфере горнодобывающей промышленности и финансовой деятельности. Отсутствие прямых иностранных инвестиций в сфере энергетики свидетельствует о необходимости дальнейшего реформирования этой важной сферы экономики с целью формирования здесь конкурентной среды и чувствительности к рынку.</w:t>
      </w:r>
    </w:p>
    <w:p>
      <w:pPr>
        <w:spacing w:after="60"/>
        <w:ind w:firstLine="567"/>
        <w:jc w:val="both"/>
      </w:pPr>
      <w:r>
        <w:rPr>
          <w:rFonts w:ascii="Arial" w:cs="Arial" w:eastAsia="Arial" w:hAnsi="Arial"/>
          <w:sz w:val="24"/>
          <w:szCs w:val="24"/>
        </w:rPr>
        <w:t xml:space="preserve">В общем объеме наибольший удельный вес прямых иностранных инвестиций приходится на гор. Бишкек (около 40%), Иссык-Кульскую область (20%), Чуйскую область (в среднем 2,5%). При этом следует отметить, что около 92,5% прямых иностранных инвестиций в Иссык-Кульскую область занимают поступления от месторождения Кумтор, в другие сферы инвестиции практически не поступают. Поступление прямых иностранных инвестиций в сфере финансовой деятельности в регионах практически отсутствует и полностью сосредоточено в гор. Бишкек.</w:t>
      </w:r>
    </w:p>
    <w:p>
      <w:pPr>
        <w:spacing w:after="60"/>
        <w:ind w:firstLine="567"/>
        <w:jc w:val="both"/>
      </w:pPr>
      <w:r>
        <w:rPr>
          <w:rFonts w:ascii="Arial" w:cs="Arial" w:eastAsia="Arial" w:hAnsi="Arial"/>
          <w:sz w:val="24"/>
          <w:szCs w:val="24"/>
        </w:rPr>
        <w:t xml:space="preserve">Неравномерное поступление инвестиций по регионам страны показывает уровень различия развитости регионов и необходимость принятия специальных мер Правительством Кыргызской Республики, стимулирующих поступление инвестиций в регионы, не ограничиваясь только работой с ресурсно-ориентированными инвесторами. Низкий уровень поступления прямых иностранных инвестиций на уровне местного самоуправления свидетельствует о крайне низком уровне прямых иностранных инвестиций в сфере переработки сельскохозяйственной продукции.</w:t>
      </w:r>
    </w:p>
    <w:p>
      <w:pPr>
        <w:spacing w:after="60"/>
        <w:ind w:firstLine="567"/>
        <w:jc w:val="both"/>
      </w:pPr>
      <w:r>
        <w:rPr>
          <w:rFonts w:ascii="Arial" w:cs="Arial" w:eastAsia="Arial" w:hAnsi="Arial"/>
          <w:sz w:val="24"/>
          <w:szCs w:val="24"/>
        </w:rPr>
        <w:t xml:space="preserve">В этой связи основной задачей в проведении инвестиционной политики в среднесрочный период является дальнейшее повышение привлекательности инвестиционного климата в Кыргызской Республике, ориентированное на регионы, которое будет сфокусировано на следующих приоритетных направлениях: (1) повышение эффективности и устойчивости государственной инвестиционной политики; (2) формирование механизмов привлечения и поддержки инвестиций.</w:t>
      </w:r>
    </w:p>
    <w:p>
      <w:pPr>
        <w:spacing w:after="60"/>
        <w:ind w:firstLine="567"/>
        <w:jc w:val="both"/>
      </w:pPr>
      <w:r>
        <w:rPr>
          <w:rFonts w:ascii="Arial" w:cs="Arial" w:eastAsia="Arial" w:hAnsi="Arial"/>
          <w:sz w:val="24"/>
          <w:szCs w:val="24"/>
        </w:rPr>
        <w:t xml:space="preserve">Основными задачами инвестиционной политики в среднесрочной перспективе являются:</w:t>
      </w:r>
    </w:p>
    <w:p>
      <w:pPr>
        <w:spacing w:after="60"/>
        <w:ind w:firstLine="567"/>
        <w:jc w:val="both"/>
      </w:pPr>
      <w:r>
        <w:rPr>
          <w:rFonts w:ascii="Arial" w:cs="Arial" w:eastAsia="Arial" w:hAnsi="Arial"/>
          <w:sz w:val="24"/>
          <w:szCs w:val="24"/>
        </w:rPr>
        <w:t xml:space="preserve">- создание благоприятной ситуации в регионах, способствующей повышению инвестиционной активности;</w:t>
      </w:r>
    </w:p>
    <w:p>
      <w:pPr>
        <w:spacing w:after="60"/>
        <w:ind w:firstLine="567"/>
        <w:jc w:val="both"/>
      </w:pPr>
      <w:r>
        <w:rPr>
          <w:rFonts w:ascii="Arial" w:cs="Arial" w:eastAsia="Arial" w:hAnsi="Arial"/>
          <w:sz w:val="24"/>
          <w:szCs w:val="24"/>
        </w:rPr>
        <w:t xml:space="preserve">- привлечение местных инвестиций для реализации проектов;</w:t>
      </w:r>
    </w:p>
    <w:p>
      <w:pPr>
        <w:spacing w:after="60"/>
        <w:ind w:firstLine="567"/>
        <w:jc w:val="both"/>
      </w:pPr>
      <w:r>
        <w:rPr>
          <w:rFonts w:ascii="Arial" w:cs="Arial" w:eastAsia="Arial" w:hAnsi="Arial"/>
          <w:sz w:val="24"/>
          <w:szCs w:val="24"/>
        </w:rPr>
        <w:t xml:space="preserve">- государственная поддержка наиболее важных жизнеобеспечивающих производств и социальной сферы;</w:t>
      </w:r>
    </w:p>
    <w:p>
      <w:pPr>
        <w:spacing w:after="60"/>
        <w:ind w:firstLine="567"/>
        <w:jc w:val="both"/>
      </w:pPr>
      <w:r>
        <w:rPr>
          <w:rFonts w:ascii="Arial" w:cs="Arial" w:eastAsia="Arial" w:hAnsi="Arial"/>
          <w:sz w:val="24"/>
          <w:szCs w:val="24"/>
        </w:rPr>
        <w:t xml:space="preserve">- реконструирование и совершенствование инструментов инвестиционной привлекательности;</w:t>
      </w:r>
    </w:p>
    <w:p>
      <w:pPr>
        <w:spacing w:after="60"/>
        <w:ind w:firstLine="567"/>
        <w:jc w:val="both"/>
      </w:pPr>
      <w:r>
        <w:rPr>
          <w:rFonts w:ascii="Arial" w:cs="Arial" w:eastAsia="Arial" w:hAnsi="Arial"/>
          <w:sz w:val="24"/>
          <w:szCs w:val="24"/>
        </w:rPr>
        <w:t xml:space="preserve">- инвестирование в приоритетные и стратегически значимые отрасли региональной экономики;</w:t>
      </w:r>
    </w:p>
    <w:p>
      <w:pPr>
        <w:spacing w:after="60"/>
        <w:ind w:firstLine="567"/>
        <w:jc w:val="both"/>
      </w:pPr>
      <w:r>
        <w:rPr>
          <w:rFonts w:ascii="Arial" w:cs="Arial" w:eastAsia="Arial" w:hAnsi="Arial"/>
          <w:sz w:val="24"/>
          <w:szCs w:val="24"/>
        </w:rPr>
        <w:t xml:space="preserve">- инвестирование, направленное на развитие человеческих ресурсов, улучшение среды проживания населения;</w:t>
      </w:r>
    </w:p>
    <w:p>
      <w:pPr>
        <w:spacing w:after="60"/>
        <w:ind w:firstLine="567"/>
        <w:jc w:val="both"/>
      </w:pPr>
      <w:r>
        <w:rPr>
          <w:rFonts w:ascii="Arial" w:cs="Arial" w:eastAsia="Arial" w:hAnsi="Arial"/>
          <w:sz w:val="24"/>
          <w:szCs w:val="24"/>
        </w:rPr>
        <w:t xml:space="preserve">- повышение эффективности государственной поддержки субъектов предпринимательской и инвестиционной деятельности;</w:t>
      </w:r>
    </w:p>
    <w:p>
      <w:pPr>
        <w:spacing w:after="60"/>
        <w:ind w:firstLine="567"/>
        <w:jc w:val="both"/>
      </w:pPr>
      <w:r>
        <w:rPr>
          <w:rFonts w:ascii="Arial" w:cs="Arial" w:eastAsia="Arial" w:hAnsi="Arial"/>
          <w:sz w:val="24"/>
          <w:szCs w:val="24"/>
        </w:rPr>
        <w:t xml:space="preserve">- развитие международного и межрегионального сотрудничества;</w:t>
      </w:r>
    </w:p>
    <w:p>
      <w:pPr>
        <w:spacing w:after="60"/>
        <w:ind w:firstLine="567"/>
        <w:jc w:val="both"/>
      </w:pPr>
      <w:r>
        <w:rPr>
          <w:rFonts w:ascii="Arial" w:cs="Arial" w:eastAsia="Arial" w:hAnsi="Arial"/>
          <w:sz w:val="24"/>
          <w:szCs w:val="24"/>
        </w:rPr>
        <w:t xml:space="preserve">- устранение административных барьеров, ограничивающих интенсивное развитие предпринимательства и инвестирование на территории регионов;</w:t>
      </w:r>
    </w:p>
    <w:p>
      <w:pPr>
        <w:spacing w:after="60"/>
        <w:ind w:firstLine="567"/>
        <w:jc w:val="both"/>
      </w:pPr>
      <w:r>
        <w:rPr>
          <w:rFonts w:ascii="Arial" w:cs="Arial" w:eastAsia="Arial" w:hAnsi="Arial"/>
          <w:sz w:val="24"/>
          <w:szCs w:val="24"/>
        </w:rPr>
        <w:t xml:space="preserve">- более лояльное отношение к субъектам инвестиционной и предпринимательской деятельности со стороны органов власти.</w:t>
      </w:r>
    </w:p>
    <w:p>
      <w:pPr>
        <w:spacing w:after="60" w:before="200"/>
        <w:ind w:firstLine="567"/>
        <w:jc w:val="left"/>
      </w:pPr>
      <w:r>
        <w:rPr>
          <w:rFonts w:ascii="Arial" w:cs="Arial" w:eastAsia="Arial" w:hAnsi="Arial"/>
          <w:b/>
          <w:bCs/>
          <w:sz w:val="24"/>
          <w:szCs w:val="24"/>
        </w:rPr>
        <w:t xml:space="preserve">Инновационная политика</w:t>
      </w:r>
    </w:p>
    <w:p>
      <w:pPr>
        <w:spacing w:after="60"/>
        <w:ind w:firstLine="567"/>
        <w:jc w:val="both"/>
      </w:pPr>
      <w:r>
        <w:rPr>
          <w:rFonts w:ascii="Arial" w:cs="Arial" w:eastAsia="Arial" w:hAnsi="Arial"/>
          <w:sz w:val="24"/>
          <w:szCs w:val="24"/>
        </w:rPr>
        <w:t xml:space="preserve">Основной целью инновационной политики является создание эффективной системы защиты интеллектуальной собственности и инновационной деятельности для развития экономики и повышения ее конкурентоспособности.</w:t>
      </w:r>
    </w:p>
    <w:p>
      <w:pPr>
        <w:spacing w:after="60"/>
        <w:ind w:firstLine="567"/>
        <w:jc w:val="both"/>
      </w:pPr>
      <w:r>
        <w:rPr>
          <w:rFonts w:ascii="Arial" w:cs="Arial" w:eastAsia="Arial" w:hAnsi="Arial"/>
          <w:sz w:val="24"/>
          <w:szCs w:val="24"/>
        </w:rPr>
        <w:t xml:space="preserve">Для развития системы интеллектуальной собственности и инноваций будет проводиться работа по достижению целей и задач НСУР, которая направлена на содействие становлению устойчивой экономики страны, основанной на знаниях, поощрении инвестиций в реализацию инноваций и стимулировании предпринимательства. Будут проводиться работы по дальнейшему совершенствованию нормативной правовой базы и процедур предоставления правовой охраны объектам интеллектуальной собственности, повышению уровня защиты прав на объекты интеллектуальной собственности, формированию государственного патентного фонда, стимулированию интеллектуального творчества и коммерциализации объектов интеллектуальной собственности.</w:t>
      </w:r>
    </w:p>
    <w:p>
      <w:pPr>
        <w:spacing w:after="60"/>
        <w:ind w:firstLine="567"/>
        <w:jc w:val="both"/>
      </w:pPr>
      <w:r>
        <w:rPr>
          <w:rFonts w:ascii="Arial" w:cs="Arial" w:eastAsia="Arial" w:hAnsi="Arial"/>
          <w:sz w:val="24"/>
          <w:szCs w:val="24"/>
        </w:rPr>
        <w:t xml:space="preserve">В среднесрочном периоде, исходя из имеющихся возможностей страны, работа будет направлена на создание системы и механизмов поиска, заимствования, адаптации и распространения эффективных и инновационных технологий для отечественных предприятий. Приоритетными направлениями определены следующие: (1) создание благоприятных условий для развития инновационной деятельности и использования объектов интеллектуальной собственности; (2) содействие модернизации экономики через передовые технологии; (3) совершенствование нормативной правовой базы в сфере инновационной деятельности и защиты прав на объекты интеллектуальной собственности; (4) создание условий для обучения, повышения квалификации и информированности общества о роли и значении интеллектуальной собственности и инновационной деятельности.</w:t>
      </w:r>
    </w:p>
    <w:p>
      <w:pPr>
        <w:spacing w:after="60"/>
        <w:ind w:firstLine="567"/>
        <w:jc w:val="both"/>
      </w:pPr>
      <w:r>
        <w:rPr>
          <w:rFonts w:ascii="Arial" w:cs="Arial" w:eastAsia="Arial" w:hAnsi="Arial"/>
          <w:sz w:val="24"/>
          <w:szCs w:val="24"/>
        </w:rPr>
        <w:t xml:space="preserve">Кроме этого, будет реализовываться комплекс мер по повышению качества экспертизы при предоставлении правовой охраны объектам интеллектуальной собственности, повышению уровня защиты прав на объекты интеллектуальной собственности, созданию элементов национальной инновационной системы, информированию общества о роли и значении интеллектуальной собственности и инновационной деятельности и развитию интеллектуального творчества.</w:t>
      </w:r>
    </w:p>
    <w:p>
      <w:pPr>
        <w:spacing w:after="60"/>
        <w:ind w:firstLine="567"/>
        <w:jc w:val="both"/>
      </w:pPr>
      <w:r>
        <w:rPr>
          <w:rFonts w:ascii="Arial" w:cs="Arial" w:eastAsia="Arial" w:hAnsi="Arial"/>
          <w:sz w:val="24"/>
          <w:szCs w:val="24"/>
        </w:rPr>
        <w:t xml:space="preserve">Для развития инновационной деятельности Государственной службой интеллектуальной собственности и инноваций при Правительстве Кыргызской Республики намечено решение задач по содействию предпринимателям в осуществлении поиска информации и потенциальных бизнес-партнеров на базе филиалов Центра поддержки технологий и инноваций, обучению представителей малого и среднего предпринимательства методам получения экономической выгоды от использования инноваций, внедрению новых технологий через отбор и содействие продвижению инновационных проектов, поиску инвестиционной поддержки для внедрения опытных образцов в производство.</w:t>
      </w:r>
    </w:p>
    <w:p>
      <w:pPr>
        <w:spacing w:after="60"/>
        <w:ind w:firstLine="567"/>
        <w:jc w:val="both"/>
      </w:pPr>
      <w:r>
        <w:rPr>
          <w:rFonts w:ascii="Arial" w:cs="Arial" w:eastAsia="Arial" w:hAnsi="Arial"/>
          <w:sz w:val="24"/>
          <w:szCs w:val="24"/>
        </w:rPr>
        <w:t xml:space="preserve">Принятые меры будут способствовать:</w:t>
      </w:r>
    </w:p>
    <w:p>
      <w:pPr>
        <w:spacing w:after="60"/>
        <w:ind w:firstLine="567"/>
        <w:jc w:val="both"/>
      </w:pPr>
      <w:r>
        <w:rPr>
          <w:rFonts w:ascii="Arial" w:cs="Arial" w:eastAsia="Arial" w:hAnsi="Arial"/>
          <w:sz w:val="24"/>
          <w:szCs w:val="24"/>
        </w:rPr>
        <w:t xml:space="preserve">- совершенствованию нормативных правовых актов в сфере интеллектуальной собственности;</w:t>
      </w:r>
    </w:p>
    <w:p>
      <w:pPr>
        <w:spacing w:after="60"/>
        <w:ind w:firstLine="567"/>
        <w:jc w:val="both"/>
      </w:pPr>
      <w:r>
        <w:rPr>
          <w:rFonts w:ascii="Arial" w:cs="Arial" w:eastAsia="Arial" w:hAnsi="Arial"/>
          <w:sz w:val="24"/>
          <w:szCs w:val="24"/>
        </w:rPr>
        <w:t xml:space="preserve">- формированию единого видения создания и развития национальной инновационной системы;</w:t>
      </w:r>
    </w:p>
    <w:p>
      <w:pPr>
        <w:spacing w:after="60"/>
        <w:ind w:firstLine="567"/>
        <w:jc w:val="both"/>
      </w:pPr>
      <w:r>
        <w:rPr>
          <w:rFonts w:ascii="Arial" w:cs="Arial" w:eastAsia="Arial" w:hAnsi="Arial"/>
          <w:sz w:val="24"/>
          <w:szCs w:val="24"/>
        </w:rPr>
        <w:t xml:space="preserve">- созданию площадки для сотрудничества между малым и средним предпринимательством, фермерами, государственными структурами страны;</w:t>
      </w:r>
    </w:p>
    <w:p>
      <w:pPr>
        <w:spacing w:after="60"/>
        <w:ind w:firstLine="567"/>
        <w:jc w:val="both"/>
      </w:pPr>
      <w:r>
        <w:rPr>
          <w:rFonts w:ascii="Arial" w:cs="Arial" w:eastAsia="Arial" w:hAnsi="Arial"/>
          <w:sz w:val="24"/>
          <w:szCs w:val="24"/>
        </w:rPr>
        <w:t xml:space="preserve">- обучению представителей бизнес-сообщества, исследовательских институтов практическим навыкам управления правами интеллектуальной собственности и их охраны; развитию;</w:t>
      </w:r>
    </w:p>
    <w:p>
      <w:pPr>
        <w:spacing w:after="60"/>
        <w:ind w:firstLine="567"/>
        <w:jc w:val="both"/>
      </w:pPr>
      <w:r>
        <w:rPr>
          <w:rFonts w:ascii="Arial" w:cs="Arial" w:eastAsia="Arial" w:hAnsi="Arial"/>
          <w:sz w:val="24"/>
          <w:szCs w:val="24"/>
        </w:rPr>
        <w:t xml:space="preserve">- стимулированию интеллектуального потенциала творческой молодежи; поощрению и стимулированию творческой деятельности молодых авторов;</w:t>
      </w:r>
    </w:p>
    <w:p>
      <w:pPr>
        <w:spacing w:after="60"/>
        <w:ind w:firstLine="567"/>
        <w:jc w:val="both"/>
      </w:pPr>
      <w:r>
        <w:rPr>
          <w:rFonts w:ascii="Arial" w:cs="Arial" w:eastAsia="Arial" w:hAnsi="Arial"/>
          <w:sz w:val="24"/>
          <w:szCs w:val="24"/>
        </w:rPr>
        <w:t xml:space="preserve">- осведомленности населения о вреде контрафактной продукции, содержащей объекты интеллектуальной собственности.</w:t>
      </w:r>
    </w:p>
    <w:p>
      <w:pPr>
        <w:spacing w:after="60" w:before="200"/>
        <w:ind w:firstLine="567"/>
        <w:jc w:val="left"/>
      </w:pPr>
      <w:r>
        <w:rPr>
          <w:rFonts w:ascii="Arial" w:cs="Arial" w:eastAsia="Arial" w:hAnsi="Arial"/>
          <w:b/>
          <w:bCs/>
          <w:sz w:val="24"/>
          <w:szCs w:val="24"/>
        </w:rPr>
        <w:t xml:space="preserve">Экологическая безопасность и охрана окружающей среды</w:t>
      </w:r>
    </w:p>
    <w:p>
      <w:pPr>
        <w:spacing w:after="60"/>
        <w:ind w:firstLine="567"/>
        <w:jc w:val="both"/>
      </w:pPr>
      <w:r>
        <w:rPr>
          <w:rFonts w:ascii="Arial" w:cs="Arial" w:eastAsia="Arial" w:hAnsi="Arial"/>
          <w:sz w:val="24"/>
          <w:szCs w:val="24"/>
        </w:rPr>
        <w:t xml:space="preserve">Работа в области охраны окружающей среды и обеспечения экологической безопасности будет направлена на развитие экономики и решение социальных вопросов, которые необходимо рассматривать с учетом экологического фактора, поскольку природа и ее компоненты являются одними из основных факторов устойчивого социально-экономического развития.</w:t>
      </w:r>
    </w:p>
    <w:p>
      <w:pPr>
        <w:spacing w:after="60"/>
        <w:ind w:firstLine="567"/>
        <w:jc w:val="both"/>
      </w:pPr>
      <w:r>
        <w:rPr>
          <w:rFonts w:ascii="Arial" w:cs="Arial" w:eastAsia="Arial" w:hAnsi="Arial"/>
          <w:sz w:val="24"/>
          <w:szCs w:val="24"/>
        </w:rPr>
        <w:t xml:space="preserve">Экологическая безопасность как составная часть национальной безопасности является обязательным условием устойчивого развития страны и выступает основой сохранения природных систем и поддержания соответствующего качества окружающей среды.</w:t>
      </w:r>
    </w:p>
    <w:p>
      <w:pPr>
        <w:spacing w:after="60"/>
        <w:ind w:firstLine="567"/>
        <w:jc w:val="both"/>
      </w:pPr>
      <w:r>
        <w:rPr>
          <w:rFonts w:ascii="Arial" w:cs="Arial" w:eastAsia="Arial" w:hAnsi="Arial"/>
          <w:sz w:val="24"/>
          <w:szCs w:val="24"/>
        </w:rPr>
        <w:t xml:space="preserve">Для обеспечения экологической безопасности приоритетными направлениями будут:</w:t>
      </w:r>
    </w:p>
    <w:p>
      <w:pPr>
        <w:spacing w:after="60"/>
        <w:ind w:firstLine="567"/>
        <w:jc w:val="both"/>
      </w:pPr>
      <w:r>
        <w:rPr>
          <w:rFonts w:ascii="Arial" w:cs="Arial" w:eastAsia="Arial" w:hAnsi="Arial"/>
          <w:sz w:val="24"/>
          <w:szCs w:val="24"/>
        </w:rPr>
        <w:t xml:space="preserve">- дальнейшее совершенствование национального законодательства с учетом требований глобальных экологических конвенций и международных договоров, а также направлений "зеленого развития";</w:t>
      </w:r>
    </w:p>
    <w:p>
      <w:pPr>
        <w:spacing w:after="60"/>
        <w:ind w:firstLine="567"/>
        <w:jc w:val="both"/>
      </w:pPr>
      <w:r>
        <w:rPr>
          <w:rFonts w:ascii="Arial" w:cs="Arial" w:eastAsia="Arial" w:hAnsi="Arial"/>
          <w:sz w:val="24"/>
          <w:szCs w:val="24"/>
        </w:rPr>
        <w:t xml:space="preserve">- разработка проекта Концепции низкоуглеродного развития и усиление работы по реализации Программы по адаптации и смягчению последствий изменения климата;</w:t>
      </w:r>
    </w:p>
    <w:p>
      <w:pPr>
        <w:spacing w:after="60"/>
        <w:ind w:firstLine="567"/>
        <w:jc w:val="both"/>
      </w:pPr>
      <w:r>
        <w:rPr>
          <w:rFonts w:ascii="Arial" w:cs="Arial" w:eastAsia="Arial" w:hAnsi="Arial"/>
          <w:sz w:val="24"/>
          <w:szCs w:val="24"/>
        </w:rPr>
        <w:t xml:space="preserve">- продолжение осуществления мониторинга состояния окружающей среды;</w:t>
      </w:r>
    </w:p>
    <w:p>
      <w:pPr>
        <w:spacing w:after="60"/>
        <w:ind w:firstLine="567"/>
        <w:jc w:val="both"/>
      </w:pPr>
      <w:r>
        <w:rPr>
          <w:rFonts w:ascii="Arial" w:cs="Arial" w:eastAsia="Arial" w:hAnsi="Arial"/>
          <w:sz w:val="24"/>
          <w:szCs w:val="24"/>
        </w:rPr>
        <w:t xml:space="preserve">- осуществление надзора за рациональным использованием природных ресурсов и соблюдением экологических норм и требований;</w:t>
      </w:r>
    </w:p>
    <w:p>
      <w:pPr>
        <w:spacing w:after="60"/>
        <w:ind w:firstLine="567"/>
        <w:jc w:val="both"/>
      </w:pPr>
      <w:r>
        <w:rPr>
          <w:rFonts w:ascii="Arial" w:cs="Arial" w:eastAsia="Arial" w:hAnsi="Arial"/>
          <w:sz w:val="24"/>
          <w:szCs w:val="24"/>
        </w:rPr>
        <w:t xml:space="preserve">- сохранение и воспроизводство биоразнообразия на особо охраняемых природных территориях;</w:t>
      </w:r>
    </w:p>
    <w:p>
      <w:pPr>
        <w:spacing w:after="60"/>
        <w:ind w:firstLine="567"/>
        <w:jc w:val="both"/>
      </w:pPr>
      <w:r>
        <w:rPr>
          <w:rFonts w:ascii="Arial" w:cs="Arial" w:eastAsia="Arial" w:hAnsi="Arial"/>
          <w:sz w:val="24"/>
          <w:szCs w:val="24"/>
        </w:rPr>
        <w:t xml:space="preserve">- дальнейшая реализация Глобальной программы по сохранению снежного барса и его экосистем до 2020 года и Плана по реализации Национальной стратегии сохранения снежного барса в Кыргызской Республике на 2013-2023 годы;</w:t>
      </w:r>
    </w:p>
    <w:p>
      <w:pPr>
        <w:spacing w:after="60"/>
        <w:ind w:firstLine="567"/>
        <w:jc w:val="both"/>
      </w:pPr>
      <w:r>
        <w:rPr>
          <w:rFonts w:ascii="Arial" w:cs="Arial" w:eastAsia="Arial" w:hAnsi="Arial"/>
          <w:sz w:val="24"/>
          <w:szCs w:val="24"/>
        </w:rPr>
        <w:t xml:space="preserve">- усовершенствование методов борьбы с браконьерством;</w:t>
      </w:r>
    </w:p>
    <w:p>
      <w:pPr>
        <w:spacing w:after="60"/>
        <w:ind w:firstLine="567"/>
        <w:jc w:val="both"/>
      </w:pPr>
      <w:r>
        <w:rPr>
          <w:rFonts w:ascii="Arial" w:cs="Arial" w:eastAsia="Arial" w:hAnsi="Arial"/>
          <w:sz w:val="24"/>
          <w:szCs w:val="24"/>
        </w:rPr>
        <w:t xml:space="preserve">- лесовосстановление и увеличение площадей, покрытых лесом;</w:t>
      </w:r>
    </w:p>
    <w:p>
      <w:pPr>
        <w:spacing w:after="60"/>
        <w:ind w:firstLine="567"/>
        <w:jc w:val="both"/>
      </w:pPr>
      <w:r>
        <w:rPr>
          <w:rFonts w:ascii="Arial" w:cs="Arial" w:eastAsia="Arial" w:hAnsi="Arial"/>
          <w:sz w:val="24"/>
          <w:szCs w:val="24"/>
        </w:rPr>
        <w:t xml:space="preserve">- проведение лесоохотустройства;</w:t>
      </w:r>
    </w:p>
    <w:p>
      <w:pPr>
        <w:spacing w:after="60"/>
        <w:ind w:firstLine="567"/>
        <w:jc w:val="both"/>
      </w:pPr>
      <w:r>
        <w:rPr>
          <w:rFonts w:ascii="Arial" w:cs="Arial" w:eastAsia="Arial" w:hAnsi="Arial"/>
          <w:sz w:val="24"/>
          <w:szCs w:val="24"/>
        </w:rPr>
        <w:t xml:space="preserve">- осуществление международного сотрудничества;</w:t>
      </w:r>
    </w:p>
    <w:p>
      <w:pPr>
        <w:spacing w:after="60"/>
        <w:ind w:firstLine="567"/>
        <w:jc w:val="both"/>
      </w:pPr>
      <w:r>
        <w:rPr>
          <w:rFonts w:ascii="Arial" w:cs="Arial" w:eastAsia="Arial" w:hAnsi="Arial"/>
          <w:sz w:val="24"/>
          <w:szCs w:val="24"/>
        </w:rPr>
        <w:t xml:space="preserve">- информирование общественности, экологическое образование;</w:t>
      </w:r>
    </w:p>
    <w:p>
      <w:pPr>
        <w:spacing w:after="60"/>
        <w:ind w:firstLine="567"/>
        <w:jc w:val="both"/>
      </w:pPr>
      <w:r>
        <w:rPr>
          <w:rFonts w:ascii="Arial" w:cs="Arial" w:eastAsia="Arial" w:hAnsi="Arial"/>
          <w:sz w:val="24"/>
          <w:szCs w:val="24"/>
        </w:rPr>
        <w:t xml:space="preserve">- софинансирование природоохранных мероприятий.</w:t>
      </w:r>
    </w:p>
    <w:p>
      <w:pPr>
        <w:spacing w:after="60"/>
        <w:ind w:firstLine="567"/>
        <w:jc w:val="both"/>
      </w:pPr>
      <w:r>
        <w:rPr>
          <w:rFonts w:ascii="Arial" w:cs="Arial" w:eastAsia="Arial" w:hAnsi="Arial"/>
          <w:sz w:val="24"/>
          <w:szCs w:val="24"/>
        </w:rPr>
        <w:t xml:space="preserve">В целях совершенствования национальной экологической политики и нормативной правовой базы для обеспечения экологической безопасности, достижения устойчивого развития страны, с учетом вопросов по изменению климата будет осуществляться реализация государственных стратегических программ и планов, таких как: НСУР, Приоритеты сохранения биологического разнообразия Кыргызской Республики на период до 2024 года, Национальная стратегия сохранения снежного барса в Кыргызской Республике на 2013-2023 годы, Приоритетные направления адаптации к изменению климата в Кыргызской Республике до 2017 года, Программа по развитию орехоплодных культур в Кыргызской Республике до 2025 года, Программа надлежащего управления химическими веществами в Кыргызской Республике и др.</w:t>
      </w:r>
    </w:p>
    <w:p>
      <w:pPr>
        <w:spacing w:after="60" w:before="200"/>
        <w:ind w:firstLine="567"/>
        <w:jc w:val="left"/>
      </w:pPr>
      <w:r>
        <w:rPr>
          <w:rFonts w:ascii="Arial" w:cs="Arial" w:eastAsia="Arial" w:hAnsi="Arial"/>
          <w:b/>
          <w:bCs/>
          <w:sz w:val="24"/>
          <w:szCs w:val="24"/>
        </w:rPr>
        <w:t xml:space="preserve">Развитие реального сектора</w:t>
      </w:r>
    </w:p>
    <w:p>
      <w:pPr>
        <w:spacing w:after="60"/>
        <w:ind w:firstLine="567"/>
        <w:jc w:val="both"/>
      </w:pPr>
      <w:r>
        <w:rPr>
          <w:rFonts w:ascii="Arial" w:cs="Arial" w:eastAsia="Arial" w:hAnsi="Arial"/>
          <w:sz w:val="24"/>
          <w:szCs w:val="24"/>
        </w:rPr>
        <w:t xml:space="preserve">Сельское хозяйство. Основной целью развития сельского хозяйства является создание условий для роста производства, повышения качества продукции и обеспечения продовольственной безопасности страны. Развитие сельского хозяйства будет сконцентрировано на следующих приоритетных направлениях: (1) создание эффективных систем управления сельским хозяйством и подготовки кадров, предпосылок для концентрации сельскохозяйственного производства; (2) поддержка роста производства и экспорта агропромышленной продукции; (3) обеспечение сельскохозяйственного производства сервисными услугами; (4) повышение эффективности рационального использования водных и земельных ресурсов.</w:t>
      </w:r>
    </w:p>
    <w:p>
      <w:pPr>
        <w:spacing w:after="60"/>
        <w:ind w:firstLine="567"/>
        <w:jc w:val="both"/>
      </w:pPr>
      <w:r>
        <w:rPr>
          <w:rFonts w:ascii="Arial" w:cs="Arial" w:eastAsia="Arial" w:hAnsi="Arial"/>
          <w:sz w:val="24"/>
          <w:szCs w:val="24"/>
        </w:rPr>
        <w:t xml:space="preserve">В целях повышения урожайности и эффективности сельского хозяйства будут продолжены работы по развитию тепличных хозяйств, строительству пунктов убоя скота, открытию логистических центров и активному использованию систем капельного орошения.</w:t>
      </w:r>
    </w:p>
    <w:p>
      <w:pPr>
        <w:spacing w:after="60"/>
        <w:ind w:firstLine="567"/>
        <w:jc w:val="both"/>
      </w:pPr>
      <w:r>
        <w:rPr>
          <w:rFonts w:ascii="Arial" w:cs="Arial" w:eastAsia="Arial" w:hAnsi="Arial"/>
          <w:sz w:val="24"/>
          <w:szCs w:val="24"/>
        </w:rPr>
        <w:t xml:space="preserve">В 2017-2019 годах прогнозируется увеличение реальных темпов роста сельского хозяйства в среднем на 2,3% за счет принимаемых государством и частным сектором мер по увеличению урожайности растениеводства и продуктивности животноводства. Удельный вес объемов сельского хозяйства в структуре ВВП составит в среднем 13,2%.</w:t>
      </w:r>
    </w:p>
    <w:p>
      <w:pPr>
        <w:spacing w:after="120" w:before="200"/>
        <w:jc w:val="left"/>
      </w:pPr>
      <w:r>
        <w:rPr>
          <w:rFonts w:ascii="Arial" w:cs="Arial" w:eastAsia="Arial" w:hAnsi="Arial"/>
          <w:b/>
          <w:bCs/>
          <w:sz w:val="24"/>
          <w:szCs w:val="24"/>
        </w:rPr>
        <w:t xml:space="preserve">Таблица 16. Среднесрочный прогноз развития сельского хозяйства Кыргызской Республики на 2017-2019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943"/>
        <w:gridCol w:w="1358"/>
        <w:gridCol w:w="1358"/>
        <w:gridCol w:w="1358"/>
        <w:gridCol w:w="2162"/>
      </w:tblGrid>
      <w:tr>
        <w:tc>
          <w:tcPr>
            <w:tcW w:type="dxa" w:w="394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отраслей</w:t>
            </w:r>
          </w:p>
        </w:tc>
        <w:tc>
          <w:tcPr>
            <w:tcW w:type="dxa" w:w="135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 прогноз</w:t>
            </w:r>
          </w:p>
        </w:tc>
        <w:tc>
          <w:tcPr>
            <w:tcW w:type="dxa" w:w="135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 прогноз</w:t>
            </w:r>
          </w:p>
        </w:tc>
        <w:tc>
          <w:tcPr>
            <w:tcW w:type="dxa" w:w="135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 прогноз</w:t>
            </w:r>
          </w:p>
        </w:tc>
        <w:tc>
          <w:tcPr>
            <w:tcW w:type="dxa" w:w="216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Среднее значение за 2017-2019 гг.</w:t>
            </w:r>
          </w:p>
        </w:tc>
      </w:tr>
      <w:tr>
        <w:tc>
          <w:tcPr>
            <w:tcW w:type="dxa" w:w="39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 лесное хозяйство и рыболовство, млн. сомов</w:t>
            </w:r>
          </w:p>
        </w:tc>
        <w:tc>
          <w:tcPr>
            <w:tcW w:type="dxa" w:w="13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228801,9</w:t>
            </w:r>
          </w:p>
        </w:tc>
        <w:tc>
          <w:tcPr>
            <w:tcW w:type="dxa" w:w="13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249159,6</w:t>
            </w:r>
          </w:p>
        </w:tc>
        <w:tc>
          <w:tcPr>
            <w:tcW w:type="dxa" w:w="13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271988,8</w:t>
            </w:r>
          </w:p>
        </w:tc>
        <w:tc>
          <w:tcPr>
            <w:tcW w:type="dxa" w:w="21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9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3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3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13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21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r>
      <w:tr>
        <w:tc>
          <w:tcPr>
            <w:tcW w:type="dxa" w:w="39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3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1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9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Растениеводство, млн. сомов</w:t>
            </w:r>
          </w:p>
        </w:tc>
        <w:tc>
          <w:tcPr>
            <w:tcW w:type="dxa" w:w="13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109857,6</w:t>
            </w:r>
          </w:p>
        </w:tc>
        <w:tc>
          <w:tcPr>
            <w:tcW w:type="dxa" w:w="13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114506,0</w:t>
            </w:r>
          </w:p>
        </w:tc>
        <w:tc>
          <w:tcPr>
            <w:tcW w:type="dxa" w:w="13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123364,5</w:t>
            </w:r>
          </w:p>
        </w:tc>
        <w:tc>
          <w:tcPr>
            <w:tcW w:type="dxa" w:w="21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9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3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13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13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21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r>
      <w:tr>
        <w:tc>
          <w:tcPr>
            <w:tcW w:type="dxa" w:w="39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Животноводство, млн. сомов</w:t>
            </w:r>
          </w:p>
        </w:tc>
        <w:tc>
          <w:tcPr>
            <w:tcW w:type="dxa" w:w="13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114517,2</w:t>
            </w:r>
          </w:p>
        </w:tc>
        <w:tc>
          <w:tcPr>
            <w:tcW w:type="dxa" w:w="13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130152,4</w:t>
            </w:r>
          </w:p>
        </w:tc>
        <w:tc>
          <w:tcPr>
            <w:tcW w:type="dxa" w:w="13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146123,0</w:t>
            </w:r>
          </w:p>
        </w:tc>
        <w:tc>
          <w:tcPr>
            <w:tcW w:type="dxa" w:w="21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9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3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13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13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21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r>
    </w:tbl>
    <w:p>
      <w:pPr>
        <w:spacing w:after="60" w:before="120"/>
        <w:ind w:firstLine="567"/>
        <w:jc w:val="both"/>
      </w:pPr>
      <w:r>
        <w:rPr>
          <w:rFonts w:ascii="Arial" w:cs="Arial" w:eastAsia="Arial" w:hAnsi="Arial"/>
          <w:sz w:val="24"/>
          <w:szCs w:val="24"/>
        </w:rPr>
        <w:t xml:space="preserve">В среднесрочном периоде прогнозируется увеличение посевной площади сахарной свеклы в 2017-2019 годах, с 11,0 тыс. га до 13,7 тыс. га, хлопка - с 18,3 тыс. га до 21,2 тыс. га, табака - с 1,4 тыс. га до 1,6 тыс. га, масличных культур - с 41,0 тыс. га до 46,8 тыс. га, овощей - с 50,5 тыс. га до 53,2 тыс. га, бахчевых - с 11,2 тыс. га до 11,5 тыс. га, что будет способствовать среднегодовому приросту продукции растениеводства на уровне 2,2%.</w:t>
      </w:r>
    </w:p>
    <w:p>
      <w:pPr>
        <w:spacing w:after="60"/>
        <w:ind w:firstLine="567"/>
        <w:jc w:val="both"/>
      </w:pPr>
      <w:r>
        <w:rPr>
          <w:rFonts w:ascii="Arial" w:cs="Arial" w:eastAsia="Arial" w:hAnsi="Arial"/>
          <w:sz w:val="24"/>
          <w:szCs w:val="24"/>
        </w:rPr>
        <w:t xml:space="preserve">В животноводстве среднегодовой темп прироста достигнет уровня 2,6%, в основном, за счет увеличения поголовья скота и повышения продуктивности сельскохозяйственных животных.</w:t>
      </w:r>
    </w:p>
    <w:p>
      <w:pPr>
        <w:spacing w:after="60"/>
        <w:ind w:firstLine="567"/>
        <w:jc w:val="both"/>
      </w:pPr>
      <w:r>
        <w:rPr>
          <w:rFonts w:ascii="Arial" w:cs="Arial" w:eastAsia="Arial" w:hAnsi="Arial"/>
          <w:sz w:val="24"/>
          <w:szCs w:val="24"/>
        </w:rPr>
        <w:t xml:space="preserve">Будут реализованы мероприятия, направленные на достижение реальных темпов роста сельскохозяйственной отрасли к концу 2019 года, за счет: 1) систематического увеличения посевной площади сельскохозяйственных культур за счет разумного вовлечения в оборот неиспользуемой пашни, которая не требует капитальных затрат для проведения мелиоративных работ; 2) оптимизации и стабилизации посевных площадей сельскохозяйственных культур, таких как: масличные культуры, картофель, овощи, бахчевые культуры, достижения увеличения их урожайности и валовых сборов за счет улучшения почвенного плодородия, с применением органических, минеральных и органоминеральных удобрений, а также использования систем капельного орошения; (3) продолжения обеспечения фермеров необходимой сельхозтехникой на условиях льготного кредитования, путем приобретения сельхозтехники в лизинг; (4) решения проблемы обеспечения крестьян и фермеров республики азотными минеральными удобрениями; (5) увеличения объемов заготовки всех видов кормов, заготовки на одну условную голову крупного рогатого скота не менее 16-18 центнеров кормовых единиц; (6) привлечения прямых инвестиций и собственных средств в развитие отраслей животноводства; (7) эффективного использования льготных кредитных ресурсов.</w:t>
      </w:r>
    </w:p>
    <w:p>
      <w:pPr>
        <w:spacing w:after="60"/>
        <w:ind w:firstLine="567"/>
        <w:jc w:val="both"/>
      </w:pPr>
      <w:r>
        <w:rPr>
          <w:rFonts w:ascii="Arial" w:cs="Arial" w:eastAsia="Arial" w:hAnsi="Arial"/>
          <w:sz w:val="24"/>
          <w:szCs w:val="24"/>
        </w:rPr>
        <w:t xml:space="preserve">Возможные риски, влияющие на показатель роста производства продукции сельского хозяйства:</w:t>
      </w:r>
    </w:p>
    <w:p>
      <w:pPr>
        <w:spacing w:after="60"/>
        <w:ind w:firstLine="567"/>
        <w:jc w:val="both"/>
      </w:pPr>
      <w:r>
        <w:rPr>
          <w:rFonts w:ascii="Arial" w:cs="Arial" w:eastAsia="Arial" w:hAnsi="Arial"/>
          <w:sz w:val="24"/>
          <w:szCs w:val="24"/>
        </w:rPr>
        <w:t xml:space="preserve">- неблагоприятные природно-климатические условия (засуха, отсутствие полива);</w:t>
      </w:r>
    </w:p>
    <w:p>
      <w:pPr>
        <w:spacing w:after="60"/>
        <w:ind w:firstLine="567"/>
        <w:jc w:val="both"/>
      </w:pPr>
      <w:r>
        <w:rPr>
          <w:rFonts w:ascii="Arial" w:cs="Arial" w:eastAsia="Arial" w:hAnsi="Arial"/>
          <w:sz w:val="24"/>
          <w:szCs w:val="24"/>
        </w:rPr>
        <w:t xml:space="preserve">- недостаточная заготовка кормов на зимний период;</w:t>
      </w:r>
    </w:p>
    <w:p>
      <w:pPr>
        <w:spacing w:after="60"/>
        <w:ind w:firstLine="567"/>
        <w:jc w:val="both"/>
      </w:pPr>
      <w:r>
        <w:rPr>
          <w:rFonts w:ascii="Arial" w:cs="Arial" w:eastAsia="Arial" w:hAnsi="Arial"/>
          <w:sz w:val="24"/>
          <w:szCs w:val="24"/>
        </w:rPr>
        <w:t xml:space="preserve">- неблагоприятная эпизоотическая обстановка;</w:t>
      </w:r>
    </w:p>
    <w:p>
      <w:pPr>
        <w:spacing w:after="60"/>
        <w:ind w:firstLine="567"/>
        <w:jc w:val="both"/>
      </w:pPr>
      <w:r>
        <w:rPr>
          <w:rFonts w:ascii="Arial" w:cs="Arial" w:eastAsia="Arial" w:hAnsi="Arial"/>
          <w:sz w:val="24"/>
          <w:szCs w:val="24"/>
        </w:rPr>
        <w:t xml:space="preserve">- неэффективное использование направляемых льготных кредитных ресурсов государства;</w:t>
      </w:r>
    </w:p>
    <w:p>
      <w:pPr>
        <w:spacing w:after="60"/>
        <w:ind w:firstLine="567"/>
        <w:jc w:val="both"/>
      </w:pPr>
      <w:r>
        <w:rPr>
          <w:rFonts w:ascii="Arial" w:cs="Arial" w:eastAsia="Arial" w:hAnsi="Arial"/>
          <w:sz w:val="24"/>
          <w:szCs w:val="24"/>
        </w:rPr>
        <w:t xml:space="preserve">- дефицит минеральных удобрений; недостаточная обеспеченность семенами сельскохозяйственных культур; непредсказуемость цен на топливо и горюче-смазочные материалы.</w:t>
      </w:r>
    </w:p>
    <w:p>
      <w:pPr>
        <w:spacing w:after="60" w:before="200"/>
        <w:ind w:firstLine="567"/>
        <w:jc w:val="left"/>
      </w:pPr>
      <w:r>
        <w:rPr>
          <w:rFonts w:ascii="Arial" w:cs="Arial" w:eastAsia="Arial" w:hAnsi="Arial"/>
          <w:b/>
          <w:bCs/>
          <w:sz w:val="24"/>
          <w:szCs w:val="24"/>
        </w:rPr>
        <w:t xml:space="preserve">Промышленность(13)</w:t>
      </w:r>
    </w:p>
    <w:p>
      <w:pPr>
        <w:spacing w:after="60"/>
        <w:ind w:firstLine="567"/>
        <w:jc w:val="both"/>
      </w:pPr>
      <w:r>
        <w:rPr>
          <w:rFonts w:ascii="Arial" w:cs="Arial" w:eastAsia="Arial" w:hAnsi="Arial"/>
          <w:sz w:val="24"/>
          <w:szCs w:val="24"/>
        </w:rPr>
        <w:t xml:space="preserve">В среднесрочном периоде промышленная политика в Кыргызской Республике будет направлена на развитие приоритетных направлений данного сектора, а также на улучшение деятельности простаивающих и ввод новых производственных мощностей.</w:t>
      </w:r>
    </w:p>
    <w:p>
      <w:pPr>
        <w:spacing w:after="60"/>
        <w:ind w:firstLine="567"/>
        <w:jc w:val="both"/>
      </w:pPr>
      <w:r>
        <w:rPr>
          <w:rFonts w:ascii="Arial" w:cs="Arial" w:eastAsia="Arial" w:hAnsi="Arial"/>
          <w:sz w:val="24"/>
          <w:szCs w:val="24"/>
        </w:rPr>
        <w:t xml:space="preserve">Основными целями развития сектора промышленности являются достижение устойчивого развития горнодобывающей отрасли при рациональном использовании минерально-сырьевого потенциала и минимизации воздействия на окружающую среду, повышение потенциала предприятий обрабатывающей промышленности через внедрение ресурсосберегающих технологий, обеспечение энергетической безопасности Кыргызской Республики и развитие экспортного потенциала.</w:t>
      </w:r>
    </w:p>
    <w:p>
      <w:pPr>
        <w:spacing w:after="60"/>
        <w:ind w:firstLine="567"/>
        <w:jc w:val="both"/>
      </w:pPr>
      <w:r>
        <w:rPr>
          <w:rFonts w:ascii="Arial" w:cs="Arial" w:eastAsia="Arial" w:hAnsi="Arial"/>
          <w:sz w:val="24"/>
          <w:szCs w:val="24"/>
        </w:rPr>
        <w:t xml:space="preserve">В 2017-2019 годах темпы роста промышленной продукции прогнозируются в среднем за год на уровне 104,1%, а без предприятий по разработке месторождения Кумтор - на уровне 106%. Удельный вес промышленности в структуре производства ВВП составит в среднем 13,3%.</w:t>
      </w:r>
    </w:p>
    <w:p>
      <w:pPr>
        <w:spacing w:after="60"/>
        <w:ind w:firstLine="567"/>
        <w:jc w:val="both"/>
      </w:pPr>
      <w:r>
        <w:rPr>
          <w:rFonts w:ascii="Arial" w:cs="Arial" w:eastAsia="Arial" w:hAnsi="Arial"/>
          <w:sz w:val="24"/>
          <w:szCs w:val="24"/>
        </w:rPr>
        <w:t xml:space="preserve">Рост производства промышленной продукции прогнозируется достичь за счет:</w:t>
      </w:r>
    </w:p>
    <w:p>
      <w:pPr>
        <w:spacing w:after="60"/>
        <w:ind w:firstLine="567"/>
        <w:jc w:val="both"/>
      </w:pPr>
      <w:r>
        <w:rPr>
          <w:rFonts w:ascii="Arial" w:cs="Arial" w:eastAsia="Arial" w:hAnsi="Arial"/>
          <w:sz w:val="24"/>
          <w:szCs w:val="24"/>
        </w:rPr>
        <w:t xml:space="preserve">- повышения загрузки и эффективного использования действующих мощностей, возобновления работы простаивающих предприятий и ввода новых мощностей;</w:t>
      </w:r>
    </w:p>
    <w:p>
      <w:pPr>
        <w:spacing w:after="60"/>
        <w:ind w:firstLine="567"/>
        <w:jc w:val="both"/>
      </w:pPr>
      <w:r>
        <w:rPr>
          <w:rFonts w:ascii="Arial" w:cs="Arial" w:eastAsia="Arial" w:hAnsi="Arial"/>
          <w:sz w:val="24"/>
          <w:szCs w:val="24"/>
        </w:rPr>
        <w:t xml:space="preserve">- сохранения объемов добычи золота на месторождении Кумтор на уровне 455-475 тыс. унций;</w:t>
      </w:r>
    </w:p>
    <w:p>
      <w:pPr>
        <w:spacing w:after="60"/>
        <w:ind w:firstLine="567"/>
        <w:jc w:val="both"/>
      </w:pPr>
      <w:r>
        <w:rPr>
          <w:rFonts w:ascii="Arial" w:cs="Arial" w:eastAsia="Arial" w:hAnsi="Arial"/>
          <w:sz w:val="24"/>
          <w:szCs w:val="24"/>
        </w:rPr>
        <w:t xml:space="preserve">- наращивания объемов на месторождениях Бозымчак, Талды-Булак Левобережный, Жамгыр, Иштамберди, Кара-Казык;</w:t>
      </w:r>
    </w:p>
    <w:p>
      <w:pPr>
        <w:spacing w:after="60"/>
        <w:ind w:firstLine="567"/>
        <w:jc w:val="both"/>
      </w:pPr>
      <w:r>
        <w:rPr>
          <w:rFonts w:ascii="Arial" w:cs="Arial" w:eastAsia="Arial" w:hAnsi="Arial"/>
          <w:sz w:val="24"/>
          <w:szCs w:val="24"/>
        </w:rPr>
        <w:t xml:space="preserve">- освоения мощностей нефтеперерабатывающего завода "Джунда" и Токмокского нефтеперерабатывающего завода;</w:t>
      </w:r>
    </w:p>
    <w:p>
      <w:pPr>
        <w:spacing w:after="60"/>
        <w:ind w:firstLine="567"/>
        <w:jc w:val="both"/>
      </w:pPr>
      <w:r>
        <w:rPr>
          <w:rFonts w:ascii="Arial" w:cs="Arial" w:eastAsia="Arial" w:hAnsi="Arial"/>
          <w:sz w:val="24"/>
          <w:szCs w:val="24"/>
        </w:rPr>
        <w:t xml:space="preserve">- развития предприятий и отраслей, ориентированных на использование и переработку местного сырья, ресурсов и производство товаров с высокой добавленной стоимостью;</w:t>
      </w:r>
    </w:p>
    <w:p>
      <w:pPr>
        <w:spacing w:after="60"/>
        <w:ind w:firstLine="567"/>
        <w:jc w:val="both"/>
      </w:pPr>
      <w:r>
        <w:rPr>
          <w:rFonts w:ascii="Arial" w:cs="Arial" w:eastAsia="Arial" w:hAnsi="Arial"/>
          <w:sz w:val="24"/>
          <w:szCs w:val="24"/>
        </w:rPr>
        <w:t xml:space="preserve">- обеспечения электроэнергией потребностей экономики и повышения устойчивости энергоснабжения потребителей за счет ввода и модернизации производственных мощностей энергосектора, развития возобновляемых источников энергии, повышения эффективности корпоративного управления в энергетических компаниях и обеспечения достоверности учета произведенной и распределенной электроэнергии;</w:t>
      </w:r>
    </w:p>
    <w:p>
      <w:pPr>
        <w:spacing w:after="60"/>
        <w:ind w:firstLine="567"/>
        <w:jc w:val="both"/>
      </w:pPr>
      <w:r>
        <w:rPr>
          <w:rFonts w:ascii="Arial" w:cs="Arial" w:eastAsia="Arial" w:hAnsi="Arial"/>
          <w:sz w:val="24"/>
          <w:szCs w:val="24"/>
        </w:rPr>
        <w:t xml:space="preserve">- мероприятий по развитию пищеперерабатывающей отрасли - организации мини-цехов по переработке сельскохозяйственной продукции и улучшения управления алкогольной отраслью, ужесточения борьбы с контрабандой и незаконным оборотом алкогольной продукции на внутреннем рынке;</w:t>
      </w:r>
    </w:p>
    <w:p>
      <w:pPr>
        <w:spacing w:after="60"/>
        <w:ind w:firstLine="567"/>
        <w:jc w:val="both"/>
      </w:pPr>
      <w:r>
        <w:rPr>
          <w:rFonts w:ascii="Arial" w:cs="Arial" w:eastAsia="Arial" w:hAnsi="Arial"/>
          <w:sz w:val="24"/>
          <w:szCs w:val="24"/>
        </w:rPr>
        <w:t xml:space="preserve">- формирования гибкой политики дифференцированных таможенных платежей на сырье и готовую продукцию для промышленного сектора;</w:t>
      </w:r>
    </w:p>
    <w:p>
      <w:pPr>
        <w:spacing w:after="60"/>
        <w:ind w:firstLine="567"/>
        <w:jc w:val="both"/>
      </w:pPr>
      <w:r>
        <w:rPr>
          <w:rFonts w:ascii="Arial" w:cs="Arial" w:eastAsia="Arial" w:hAnsi="Arial"/>
          <w:sz w:val="24"/>
          <w:szCs w:val="24"/>
        </w:rPr>
        <w:t xml:space="preserve">- продвижения отечественных товаров на внешние рынки.</w:t>
      </w:r>
    </w:p>
    <w:p>
      <w:pPr>
        <w:spacing w:after="60"/>
        <w:ind w:firstLine="567"/>
        <w:jc w:val="both"/>
      </w:pPr>
      <w:r>
        <w:rPr>
          <w:rFonts w:ascii="Arial" w:cs="Arial" w:eastAsia="Arial" w:hAnsi="Arial"/>
          <w:sz w:val="24"/>
          <w:szCs w:val="24"/>
        </w:rPr>
        <w:t xml:space="preserve">Задачи инновационного развития и повышения конкурентоспособности отечественной промышленности будут решены за счет обеспечения ее квалифицированными кадрами путем подготовки в системе профессионально-технического образования.</w:t>
      </w:r>
    </w:p>
    <w:p>
      <w:pPr>
        <w:spacing w:after="60"/>
        <w:ind w:firstLine="567"/>
        <w:jc w:val="both"/>
      </w:pPr>
      <w:r>
        <w:rPr>
          <w:rFonts w:ascii="Arial" w:cs="Arial" w:eastAsia="Arial" w:hAnsi="Arial"/>
          <w:sz w:val="24"/>
          <w:szCs w:val="24"/>
        </w:rPr>
        <w:t xml:space="preserve">Рост промышленного производства в целом прогнозируется за счет увеличения объемов добычи полезных ископаемых в среднем на 12,2%, обрабатывающего производства - на 3,6%, энергетики - на 4,0% и водоснабжения, очистки, обработки отходов и получения вторичного сырья - на 5,0%.</w:t>
      </w:r>
    </w:p>
    <w:p>
      <w:pPr>
        <w:spacing w:after="120" w:before="200"/>
        <w:ind w:firstLine="567"/>
        <w:jc w:val="left"/>
      </w:pPr>
      <w:r>
        <w:rPr>
          <w:rFonts w:ascii="Arial" w:cs="Arial" w:eastAsia="Arial" w:hAnsi="Arial"/>
          <w:b/>
          <w:bCs/>
          <w:sz w:val="24"/>
          <w:szCs w:val="24"/>
        </w:rPr>
        <w:t xml:space="preserve">Таблица 17. Среднесрочный прогноз промышленности по секторам (2017-2019 гг.)</w:t>
      </w:r>
    </w:p>
    <w:p>
      <w:pPr>
        <w:spacing w:after="60"/>
        <w:ind w:firstLine="567"/>
        <w:jc w:val="right"/>
      </w:pPr>
      <w:r>
        <w:rPr>
          <w:rFonts w:ascii="Arial" w:cs="Arial" w:eastAsia="Arial" w:hAnsi="Arial"/>
          <w:sz w:val="24"/>
          <w:szCs w:val="24"/>
        </w:rPr>
        <w:t xml:space="preserve">(в процентах)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607"/>
        <w:gridCol w:w="1207"/>
        <w:gridCol w:w="1207"/>
        <w:gridCol w:w="1207"/>
        <w:gridCol w:w="1950"/>
      </w:tblGrid>
      <w:tr>
        <w:tc>
          <w:tcPr>
            <w:tcW w:type="dxa" w:w="460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20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 прогноз</w:t>
            </w:r>
          </w:p>
        </w:tc>
        <w:tc>
          <w:tcPr>
            <w:tcW w:type="dxa" w:w="120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 прогноз</w:t>
            </w:r>
          </w:p>
        </w:tc>
        <w:tc>
          <w:tcPr>
            <w:tcW w:type="dxa" w:w="120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 прогноз</w:t>
            </w:r>
          </w:p>
        </w:tc>
        <w:tc>
          <w:tcPr>
            <w:tcW w:type="dxa" w:w="195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Среднее значение за 2017-2019 гг.</w:t>
            </w:r>
          </w:p>
        </w:tc>
      </w:tr>
      <w:tr>
        <w:tc>
          <w:tcPr>
            <w:tcW w:type="dxa" w:w="46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 всего</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109,9</w:t>
            </w:r>
          </w:p>
        </w:tc>
        <w:tc>
          <w:tcPr>
            <w:tcW w:type="dxa" w:w="19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r>
      <w:tr>
        <w:tc>
          <w:tcPr>
            <w:tcW w:type="dxa" w:w="46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 без учета предприятий по разработке месторождения Кумтор</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19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r>
      <w:tr>
        <w:tc>
          <w:tcPr>
            <w:tcW w:type="dxa" w:w="46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Добыча полезных ископаемых</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119,2</w:t>
            </w:r>
          </w:p>
        </w:tc>
        <w:tc>
          <w:tcPr>
            <w:tcW w:type="dxa" w:w="19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112,2</w:t>
            </w:r>
          </w:p>
        </w:tc>
      </w:tr>
      <w:tr>
        <w:tc>
          <w:tcPr>
            <w:tcW w:type="dxa" w:w="46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Обрабатывающие производства</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111,2</w:t>
            </w:r>
          </w:p>
        </w:tc>
        <w:tc>
          <w:tcPr>
            <w:tcW w:type="dxa" w:w="19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r>
      <w:tr>
        <w:tc>
          <w:tcPr>
            <w:tcW w:type="dxa" w:w="46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Обеспечение (снабжение) электроэнергией, газом, паром и кондиционированным воздухом</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19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r>
      <w:tr>
        <w:tc>
          <w:tcPr>
            <w:tcW w:type="dxa" w:w="46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Водоснабжение, очистка, обработка отходов и получение вторичного сырья</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19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r>
    </w:tbl>
    <w:p>
      <w:pPr>
        <w:spacing w:after="60" w:before="120"/>
        <w:ind w:firstLine="567"/>
        <w:jc w:val="both"/>
      </w:pPr>
      <w:r>
        <w:rPr>
          <w:rFonts w:ascii="Arial" w:cs="Arial" w:eastAsia="Arial" w:hAnsi="Arial"/>
          <w:sz w:val="24"/>
          <w:szCs w:val="24"/>
        </w:rPr>
        <w:t xml:space="preserve">Так, в добыче полезных ископаемых в 2017-2019 годах темп прироста производства прогнозируется в среднем на уровне 12,2%, за счет роста объемов добычи:</w:t>
      </w:r>
    </w:p>
    <w:p>
      <w:pPr>
        <w:spacing w:after="60"/>
        <w:ind w:firstLine="567"/>
        <w:jc w:val="both"/>
      </w:pPr>
      <w:r>
        <w:rPr>
          <w:rFonts w:ascii="Arial" w:cs="Arial" w:eastAsia="Arial" w:hAnsi="Arial"/>
          <w:sz w:val="24"/>
          <w:szCs w:val="24"/>
        </w:rPr>
        <w:t xml:space="preserve">(а) угля, лигнита - в среднем на 2,6% в год, за счет ежегодного наращивания мощностей, определяемых объемом реализации кыргызских углей на внутреннем рынке при прохождении осенне-зимнего периода, с наращиванием поставок кыргызских углей на ТЭЦ гор. Бишкек до 800-1000 тыс. тонн к 2019 году;</w:t>
      </w:r>
    </w:p>
    <w:p>
      <w:pPr>
        <w:spacing w:after="60"/>
        <w:ind w:firstLine="567"/>
        <w:jc w:val="both"/>
      </w:pPr>
      <w:r>
        <w:rPr>
          <w:rFonts w:ascii="Arial" w:cs="Arial" w:eastAsia="Arial" w:hAnsi="Arial"/>
          <w:sz w:val="24"/>
          <w:szCs w:val="24"/>
        </w:rPr>
        <w:t xml:space="preserve">(б) нефти и газа - за счет осуществления запланированных технологических мер ОАО "Кыргызнефтегаз" и работы инвесторов по вводу простаивающих эксплуатационных скважин, с разделом продукции;</w:t>
      </w:r>
    </w:p>
    <w:p>
      <w:pPr>
        <w:spacing w:after="60"/>
        <w:ind w:firstLine="567"/>
        <w:jc w:val="both"/>
      </w:pPr>
      <w:r>
        <w:rPr>
          <w:rFonts w:ascii="Arial" w:cs="Arial" w:eastAsia="Arial" w:hAnsi="Arial"/>
          <w:sz w:val="24"/>
          <w:szCs w:val="24"/>
        </w:rPr>
        <w:t xml:space="preserve">(в) металлических руд в среднем на 22,9% в год - за счет наращивания объемов производства на месторождениях Бозымчак, Жамгыр, Иштамберди, Кара-Казык (руды и концентраты золотосодержащие, в среднем 30200 тонн);</w:t>
      </w:r>
    </w:p>
    <w:p>
      <w:pPr>
        <w:spacing w:after="60"/>
        <w:ind w:firstLine="567"/>
        <w:jc w:val="both"/>
      </w:pPr>
      <w:r>
        <w:rPr>
          <w:rFonts w:ascii="Arial" w:cs="Arial" w:eastAsia="Arial" w:hAnsi="Arial"/>
          <w:sz w:val="24"/>
          <w:szCs w:val="24"/>
        </w:rPr>
        <w:t xml:space="preserve">(г) производства природных песков, гранул, крошки и порошка из камня; гальки, гравия, щебеня (дробленый камень), известняка и гипса, мрамора и камня известнякового для отделки или строительства, из-за наметившегося устойчивого роста объемов строительства, где прогнозируется прирост в среднем на 4%.</w:t>
      </w:r>
    </w:p>
    <w:p>
      <w:pPr>
        <w:spacing w:after="60"/>
        <w:ind w:firstLine="567"/>
        <w:jc w:val="both"/>
      </w:pPr>
      <w:r>
        <w:rPr>
          <w:rFonts w:ascii="Arial" w:cs="Arial" w:eastAsia="Arial" w:hAnsi="Arial"/>
          <w:sz w:val="24"/>
          <w:szCs w:val="24"/>
        </w:rPr>
        <w:t xml:space="preserve">Для достижения развития данной отрасли среднесрочная политика будет сфокусирована на следующих приоритетных направлениях: (1) институциональное укрепление и создание эффективной системы государственного регулирования сферы недропользования; (2) увеличение вклада в социально-экономическое развитие страны и пополнение государственного бюджета при минимизации негативного воздействия на окружающую среду.</w:t>
      </w:r>
    </w:p>
    <w:p>
      <w:pPr>
        <w:spacing w:after="60"/>
        <w:ind w:firstLine="567"/>
        <w:jc w:val="both"/>
      </w:pPr>
      <w:r>
        <w:rPr>
          <w:rFonts w:ascii="Arial" w:cs="Arial" w:eastAsia="Arial" w:hAnsi="Arial"/>
          <w:sz w:val="24"/>
          <w:szCs w:val="24"/>
        </w:rPr>
        <w:t xml:space="preserve">Для продвижения этих направлений будут реализованы следующие меры:</w:t>
      </w:r>
    </w:p>
    <w:p>
      <w:pPr>
        <w:spacing w:after="60"/>
        <w:ind w:firstLine="567"/>
        <w:jc w:val="both"/>
      </w:pPr>
      <w:r>
        <w:rPr>
          <w:rFonts w:ascii="Arial" w:cs="Arial" w:eastAsia="Arial" w:hAnsi="Arial"/>
          <w:sz w:val="24"/>
          <w:szCs w:val="24"/>
        </w:rPr>
        <w:t xml:space="preserve">- реализация Стратегии по развитию горнодобывающей промышленности Кыргызской Республики на 2015-2035 годы;</w:t>
      </w:r>
    </w:p>
    <w:p>
      <w:pPr>
        <w:spacing w:after="60"/>
        <w:ind w:firstLine="567"/>
        <w:jc w:val="both"/>
      </w:pPr>
      <w:r>
        <w:rPr>
          <w:rFonts w:ascii="Arial" w:cs="Arial" w:eastAsia="Arial" w:hAnsi="Arial"/>
          <w:sz w:val="24"/>
          <w:szCs w:val="24"/>
        </w:rPr>
        <w:t xml:space="preserve">- разработка и внесение пакета нормативных документов по контролю за рациональным использованием природных ресурсов;</w:t>
      </w:r>
    </w:p>
    <w:p>
      <w:pPr>
        <w:spacing w:after="60"/>
        <w:ind w:firstLine="567"/>
        <w:jc w:val="both"/>
      </w:pPr>
      <w:r>
        <w:rPr>
          <w:rFonts w:ascii="Arial" w:cs="Arial" w:eastAsia="Arial" w:hAnsi="Arial"/>
          <w:sz w:val="24"/>
          <w:szCs w:val="24"/>
        </w:rPr>
        <w:t xml:space="preserve">- принятие нормативных правовых актов, совершенствующих процедуру проведения конкурсов и аукционов путем внесения изменений и дополнений в Положение о порядке и условиях проведения аукциона на право пользования недрами и о порядке и условиях проведения конкурса на право пользования недрами;</w:t>
      </w:r>
    </w:p>
    <w:p>
      <w:pPr>
        <w:spacing w:after="60"/>
        <w:ind w:firstLine="567"/>
        <w:jc w:val="both"/>
      </w:pPr>
      <w:r>
        <w:rPr>
          <w:rFonts w:ascii="Arial" w:cs="Arial" w:eastAsia="Arial" w:hAnsi="Arial"/>
          <w:sz w:val="24"/>
          <w:szCs w:val="24"/>
        </w:rPr>
        <w:t xml:space="preserve">- освещение процедуры проведения конкурсов и аукционов через СМИ;</w:t>
      </w:r>
    </w:p>
    <w:p>
      <w:pPr>
        <w:spacing w:after="60"/>
        <w:ind w:firstLine="567"/>
        <w:jc w:val="both"/>
      </w:pPr>
      <w:r>
        <w:rPr>
          <w:rFonts w:ascii="Arial" w:cs="Arial" w:eastAsia="Arial" w:hAnsi="Arial"/>
          <w:sz w:val="24"/>
          <w:szCs w:val="24"/>
        </w:rPr>
        <w:t xml:space="preserve">- разработка и внедрение прозрачного механизма контрольно-надзорных функций государства и усиление требований соблюдения национальных экологических требований, с обязательным участием представителя гражданского сектора;</w:t>
      </w:r>
    </w:p>
    <w:p>
      <w:pPr>
        <w:spacing w:after="60"/>
        <w:ind w:firstLine="567"/>
        <w:jc w:val="both"/>
      </w:pPr>
      <w:r>
        <w:rPr>
          <w:rFonts w:ascii="Arial" w:cs="Arial" w:eastAsia="Arial" w:hAnsi="Arial"/>
          <w:sz w:val="24"/>
          <w:szCs w:val="24"/>
        </w:rPr>
        <w:t xml:space="preserve">- проведение инвентаризации требований к ввозу техники и технологического оборудования;</w:t>
      </w:r>
    </w:p>
    <w:p>
      <w:pPr>
        <w:spacing w:after="60"/>
        <w:ind w:firstLine="567"/>
        <w:jc w:val="both"/>
      </w:pPr>
      <w:r>
        <w:rPr>
          <w:rFonts w:ascii="Arial" w:cs="Arial" w:eastAsia="Arial" w:hAnsi="Arial"/>
          <w:sz w:val="24"/>
          <w:szCs w:val="24"/>
        </w:rPr>
        <w:t xml:space="preserve">- создание условий для введения в эксплуатацию новых крупных и средних месторождений полезных ископаемых за период 2017-2019 годы: золотые и другие месторождениях (Шамбесай); олово-вольфрамовые месторождения (Трудовое, Уч-Кошкон, Кенсу); угольные месторождениях (Туюк-Каргаша, Кара-Кече, Мин-Куш, Сулюкта поле 11, Мин-Теке, Кок-Кия, Кара-Тубинская площадь); месторождениях нефти и газа (Майлисай, Майлисай-</w:t>
      </w:r>
      <w:r>
        <w:rPr>
          <w:rFonts w:ascii="Arial" w:cs="Arial" w:eastAsia="Arial" w:hAnsi="Arial"/>
          <w:sz w:val="24"/>
          <w:szCs w:val="24"/>
        </w:rPr>
        <w:t xml:space="preserve">III</w:t>
      </w:r>
      <w:r>
        <w:rPr>
          <w:rFonts w:ascii="Arial" w:cs="Arial" w:eastAsia="Arial" w:hAnsi="Arial"/>
          <w:sz w:val="24"/>
          <w:szCs w:val="24"/>
        </w:rPr>
        <w:t xml:space="preserve">, Майлисай-IV - Восточный избаскент, Избаскент, Чангырташ, Чигирчик, Сузак, Карагачи, Тамчи, Бешкент-Тогап-Ташрабат, Северный-Каракчикум, Майлису-111, участки Центральный и Восточный, Майлису-II, участок Чарвак, Чангырташское нефтяное месторождение);</w:t>
      </w:r>
    </w:p>
    <w:p>
      <w:pPr>
        <w:spacing w:after="60"/>
        <w:ind w:firstLine="567"/>
        <w:jc w:val="both"/>
      </w:pPr>
      <w:r>
        <w:rPr>
          <w:rFonts w:ascii="Arial" w:cs="Arial" w:eastAsia="Arial" w:hAnsi="Arial"/>
          <w:sz w:val="24"/>
          <w:szCs w:val="24"/>
        </w:rPr>
        <w:t xml:space="preserve">- восполнение минерально-сырьевой базы за счет притока прямых иностранных инвестиций в геологическую отрасль.</w:t>
      </w:r>
    </w:p>
    <w:p>
      <w:pPr>
        <w:spacing w:after="60"/>
        <w:ind w:firstLine="567"/>
        <w:jc w:val="both"/>
      </w:pPr>
      <w:r>
        <w:rPr>
          <w:rFonts w:ascii="Arial" w:cs="Arial" w:eastAsia="Arial" w:hAnsi="Arial"/>
          <w:sz w:val="24"/>
          <w:szCs w:val="24"/>
        </w:rPr>
        <w:t xml:space="preserve">В обрабатывающем производстве темп реального прироста производства прогнозируется в среднем на уровне 3,6%, в основном, за счет:</w:t>
      </w:r>
    </w:p>
    <w:p>
      <w:pPr>
        <w:spacing w:after="60"/>
        <w:ind w:firstLine="567"/>
        <w:jc w:val="both"/>
      </w:pPr>
      <w:r>
        <w:rPr>
          <w:rFonts w:ascii="Arial" w:cs="Arial" w:eastAsia="Arial" w:hAnsi="Arial"/>
          <w:sz w:val="24"/>
          <w:szCs w:val="24"/>
        </w:rPr>
        <w:t xml:space="preserve">- стабильной работы предприятий по разработке месторождения Кумтор, где будет вестись работа на участке спуска в подземную зону, удельный вес которого в промышленности продолжает оставаться высоким, составив в среднем 33,6%, производство золота в 2017-2019 годах - в объеме со снижением в среднем на 6,4% от уровня 2015 года и с выходом на положительную динамику в 2019 году (рост на 7,7%);</w:t>
      </w:r>
    </w:p>
    <w:p>
      <w:pPr>
        <w:spacing w:after="60"/>
        <w:ind w:firstLine="567"/>
        <w:jc w:val="both"/>
      </w:pPr>
      <w:r>
        <w:rPr>
          <w:rFonts w:ascii="Arial" w:cs="Arial" w:eastAsia="Arial" w:hAnsi="Arial"/>
          <w:sz w:val="24"/>
          <w:szCs w:val="24"/>
        </w:rPr>
        <w:t xml:space="preserve">- увеличения объемов производства золота на открытом акционерном обществе "Кыргызалтын" в 2017-2019 годах в среднем на 7,4%;</w:t>
      </w:r>
    </w:p>
    <w:p>
      <w:pPr>
        <w:spacing w:after="60"/>
        <w:ind w:firstLine="567"/>
        <w:jc w:val="both"/>
      </w:pPr>
      <w:r>
        <w:rPr>
          <w:rFonts w:ascii="Arial" w:cs="Arial" w:eastAsia="Arial" w:hAnsi="Arial"/>
          <w:sz w:val="24"/>
          <w:szCs w:val="24"/>
        </w:rPr>
        <w:t xml:space="preserve">- наращивания объемов на месторождении Талды-Булак Левобережный, где прирост в среднем составит 54,4%;</w:t>
      </w:r>
    </w:p>
    <w:p>
      <w:pPr>
        <w:spacing w:after="60"/>
        <w:ind w:firstLine="567"/>
        <w:jc w:val="both"/>
      </w:pPr>
      <w:r>
        <w:rPr>
          <w:rFonts w:ascii="Arial" w:cs="Arial" w:eastAsia="Arial" w:hAnsi="Arial"/>
          <w:sz w:val="24"/>
          <w:szCs w:val="24"/>
        </w:rPr>
        <w:t xml:space="preserve">- увеличения объемов производства прочих неметаллических минеральных продуктов (строительных материалов) в среднем на 3,7% за счет превышения по выпуску изделий для строительных целей (производство кирпича, блоков для полов, блоков несущих и изделий аналогичных керамическим, неогнеупорных, цемента, гипса, изделий из бетона, железобетон для строительных целей, плит и аналогичных изделий из цемента, бетона или камня искусственного (брусчатка), песко-блока, конструкций строительных сборных из бетона, растворов строительных), а также за счет увеличения стекольного производства (ОсОО "Интергласс" - 20 млн. кв.м к 2019 году против 15 млн. кв.м - в 2015 году) и активизации цементного производства;</w:t>
      </w:r>
    </w:p>
    <w:p>
      <w:pPr>
        <w:spacing w:after="60"/>
        <w:ind w:firstLine="567"/>
        <w:jc w:val="both"/>
      </w:pPr>
      <w:r>
        <w:rPr>
          <w:rFonts w:ascii="Arial" w:cs="Arial" w:eastAsia="Arial" w:hAnsi="Arial"/>
          <w:sz w:val="24"/>
          <w:szCs w:val="24"/>
        </w:rPr>
        <w:t xml:space="preserve">- увеличения объемов производства в переработке сельхозпродуктов в среднем на 4,5% за счет наращивания производства молочной продукции, масла растительного, мукомольно-крупяной продукции, безалкогольных напитков, сахарной продукции, ликероводочной продукции, хлебопекарной продукции, макаронной продукции, пивоваренной продукции, винодельческой продукции, кондитерских изделий, мясной продукции, плодоовощной продукции. Достижению прогнозных показателей будет способствовать государственная поддержка и экономическое стимулирование предприятий пищевой и перерабатывающей промышленности, осуществляющих промышленную переработку сельскохозяйственной продукции, в виде освобождения от уплаты налога на прибыль, сроком на 3 года, а также предприятий, перерабатывающих отечественное сельскохозяйственное сырье (кроме используемого для производства подакцизной группы товаров), освобожденное с 2012 года от налога на добавленную стоимость, сроком на 6 лет. Кроме того выделяются финансовые средства по льготному кредитованию предприятий, перерабатывающих сельскохозяйственное сырье, в рамках проекта "Финансирование сельского хозяйства";</w:t>
      </w:r>
    </w:p>
    <w:p>
      <w:pPr>
        <w:spacing w:after="60"/>
        <w:ind w:firstLine="567"/>
        <w:jc w:val="both"/>
      </w:pPr>
      <w:r>
        <w:rPr>
          <w:rFonts w:ascii="Arial" w:cs="Arial" w:eastAsia="Arial" w:hAnsi="Arial"/>
          <w:sz w:val="24"/>
          <w:szCs w:val="24"/>
        </w:rPr>
        <w:t xml:space="preserve">- увеличения объемов производства нефтепродуктов в среднем на 37% за счет освоения производственных мощностей Кара-Балтинского и Токмокского нефтеперерабатывающих заводов (пеработка нефтепродуктов в 2017-2019 гг. в среднем до 480 тыс. тонн, с выходом на мощность в 2019 году до 700 тыс. т).</w:t>
      </w:r>
    </w:p>
    <w:p>
      <w:pPr>
        <w:spacing w:after="60"/>
        <w:ind w:firstLine="567"/>
        <w:jc w:val="both"/>
      </w:pPr>
      <w:r>
        <w:rPr>
          <w:rFonts w:ascii="Arial" w:cs="Arial" w:eastAsia="Arial" w:hAnsi="Arial"/>
          <w:sz w:val="24"/>
          <w:szCs w:val="24"/>
        </w:rPr>
        <w:t xml:space="preserve">Также положительные темпы роста в обрабатывающем производстве обеспечат: текстильное производство; производство одежды и обуви, кожи и прочих кожаных изделий, где в среднем рост прогнозируется на 5,5%, производство деревянных и бумажных изделий; полиграфическая деятельность - на 5,1%; химическое производство - на 1,3%; производство фармацевтической продукции - на 2,4%, производство резиновых и пластмассовых изделий - на 8,7%.</w:t>
      </w:r>
    </w:p>
    <w:p>
      <w:pPr>
        <w:spacing w:after="60"/>
        <w:ind w:firstLine="567"/>
        <w:jc w:val="both"/>
      </w:pPr>
      <w:r>
        <w:rPr>
          <w:rFonts w:ascii="Arial" w:cs="Arial" w:eastAsia="Arial" w:hAnsi="Arial"/>
          <w:sz w:val="24"/>
          <w:szCs w:val="24"/>
        </w:rPr>
        <w:t xml:space="preserve">В обеспечении (снабжение) электроэнергией, газом, паром и кондиционированным воздухом на среднесрочный период прогнозируется в среднем прирост на 4,0%.</w:t>
      </w:r>
    </w:p>
    <w:p>
      <w:pPr>
        <w:spacing w:after="60"/>
        <w:ind w:firstLine="567"/>
        <w:jc w:val="both"/>
      </w:pPr>
      <w:r>
        <w:rPr>
          <w:rFonts w:ascii="Arial" w:cs="Arial" w:eastAsia="Arial" w:hAnsi="Arial"/>
          <w:sz w:val="24"/>
          <w:szCs w:val="24"/>
        </w:rPr>
        <w:t xml:space="preserve">Прогнозные показатели выработки электроэнергии на 2017-2019 годы рассчитаны с учетом приточности реки Нарын выше среднемноголетнего значения на 10%; увеличенной выработки электроэнергии на ТЭЦ города Бишкек с 2017 года, в связи с завершением реконструкции станции; ввода в эксплуатацию в 2018 году второго гидроагрегата Камбаратинской ГЭС-2, также предусмотрено внутреннее потребление электроэнергии по представленным прогнозным заявкам РЭК и импорта электроэнергии в целях накопления водно-энергетических ресурсов Токтогульского водохранилища.</w:t>
      </w:r>
    </w:p>
    <w:p>
      <w:pPr>
        <w:spacing w:after="60"/>
        <w:ind w:firstLine="567"/>
        <w:jc w:val="both"/>
      </w:pPr>
      <w:r>
        <w:rPr>
          <w:rFonts w:ascii="Arial" w:cs="Arial" w:eastAsia="Arial" w:hAnsi="Arial"/>
          <w:sz w:val="24"/>
          <w:szCs w:val="24"/>
        </w:rPr>
        <w:t xml:space="preserve">Значимыми факторами, влияющими на темпы производства и распределения электроэнергии, газа и воды, будут: (1) эффективное использование водных ресурсов, (2) тарифная и (3) инвестиционная политика.</w:t>
      </w:r>
    </w:p>
    <w:p>
      <w:pPr>
        <w:spacing w:after="60"/>
        <w:ind w:firstLine="567"/>
        <w:jc w:val="both"/>
      </w:pPr>
      <w:r>
        <w:rPr>
          <w:rFonts w:ascii="Arial" w:cs="Arial" w:eastAsia="Arial" w:hAnsi="Arial"/>
          <w:sz w:val="24"/>
          <w:szCs w:val="24"/>
        </w:rPr>
        <w:t xml:space="preserve">Политика развития энергетического сектора будет сфокусирована на четырех приоритетных направлениях: (1) совершенствование регулирования развития энергетического сектора; (2) создание условий для стимулирования энергосбережения; (3) развитие возобновляемых источников энергии; (4) устойчивое развитие энергетического сектора через низкоуглеродную энергетику и соблюдение норм экологической безопасности.</w:t>
      </w:r>
    </w:p>
    <w:p>
      <w:pPr>
        <w:spacing w:after="60"/>
        <w:ind w:firstLine="567"/>
        <w:jc w:val="both"/>
      </w:pPr>
      <w:r>
        <w:rPr>
          <w:rFonts w:ascii="Arial" w:cs="Arial" w:eastAsia="Arial" w:hAnsi="Arial"/>
          <w:sz w:val="24"/>
          <w:szCs w:val="24"/>
        </w:rPr>
        <w:t xml:space="preserve">На период 2017-2019 годы для развития энергетической отрасли предусмотрены освоение инвестиций в основной капитал на строительство 2-ой очереди ПС 110/35/10 кВ Кун-Туу, с установкой Т-2 мощностью 25 МВА, 2-ой очереди ПС110/35/10 кВ Уч-Терек, с установкой Т-2 мощностью 10 МВА, ВЛ-110 кВ, протяженностью 50 км, от ВЛ 110 кВ Айгул-Таш-Самат до проектируемой ПС 110/10 кВ Раззакова (Проект "Улучшение электроснабжения Аркинского массива"), 2-ой очереди на ПС 110/35/10 кВ Костромская, с установкой трансформатора Т-2 мощностью 25 МВА, ПС 110/10 кВ Медерово, с установкой двух трансформаторов мощностью 2х40 МВА, гор. Бишкек, 2-ой очереди на ПС 220/110/10 кВ Кристалл, с установкой автотрансформатора Т-2 мощностью 63 МВА, 2-ой очереди на ПС 110 кВ Таш-Булак, с установкой трансформатора Т-2 мощностью 25 МВА, новой ПС 110/10 кВ Орто-Сай, с установкой двух трансформаторов мощностью по 40 МВА, гор. Бишкек, новой ПС 110/35/10 кВ Ак Босого, с установкой двух трансформаторов мощностью по 25 МВА, гор. Бишкек, второй очереди ПС 110/35/10 кВ Токтогул, с установкой трансформатора мощностью 10 МВА, второй очереди ПС 220/110/10кВ Айгуль-Таш, с установкой автотрансформатора мощностью 125 МВА, а также реконструкцию действующих объектов энергетики, на сумму 6,9 млрд. сомов.</w:t>
      </w:r>
    </w:p>
    <w:p>
      <w:pPr>
        <w:spacing w:after="60"/>
        <w:ind w:firstLine="567"/>
        <w:jc w:val="both"/>
      </w:pPr>
      <w:r>
        <w:rPr>
          <w:rFonts w:ascii="Arial" w:cs="Arial" w:eastAsia="Arial" w:hAnsi="Arial"/>
          <w:sz w:val="24"/>
          <w:szCs w:val="24"/>
        </w:rPr>
        <w:t xml:space="preserve">Основной вклад в производство промышленной продукции ожидается со стороны Чуйской, Иссык-Кульской и Джалал-Абадской областей и гор. Бишкек. В 2019 году суммарный удельный вес данных регионов в валовом выпуске промышленной продукции составит 91,4%.</w:t>
      </w:r>
    </w:p>
    <w:p>
      <w:pPr>
        <w:spacing w:after="60"/>
        <w:ind w:firstLine="567"/>
        <w:jc w:val="both"/>
      </w:pPr>
      <w:r>
        <w:rPr>
          <w:rFonts w:ascii="Arial" w:cs="Arial" w:eastAsia="Arial" w:hAnsi="Arial"/>
          <w:sz w:val="24"/>
          <w:szCs w:val="24"/>
        </w:rPr>
        <w:t xml:space="preserve">В среднесрочном периоде на развитие промышленности могут оказать влияние следующие риски и угрозы:</w:t>
      </w:r>
    </w:p>
    <w:p>
      <w:pPr>
        <w:spacing w:after="60"/>
        <w:ind w:firstLine="567"/>
        <w:jc w:val="both"/>
      </w:pPr>
      <w:r>
        <w:rPr>
          <w:rFonts w:ascii="Arial" w:cs="Arial" w:eastAsia="Arial" w:hAnsi="Arial"/>
          <w:sz w:val="24"/>
          <w:szCs w:val="24"/>
        </w:rPr>
        <w:t xml:space="preserve">- избыточная зависимость от импорта сырьевых и материальных ресурсов;</w:t>
      </w:r>
    </w:p>
    <w:p>
      <w:pPr>
        <w:spacing w:after="60"/>
        <w:ind w:firstLine="567"/>
        <w:jc w:val="both"/>
      </w:pPr>
      <w:r>
        <w:rPr>
          <w:rFonts w:ascii="Arial" w:cs="Arial" w:eastAsia="Arial" w:hAnsi="Arial"/>
          <w:sz w:val="24"/>
          <w:szCs w:val="24"/>
        </w:rPr>
        <w:t xml:space="preserve">- снижение объемов производства в экспортно-ориентированных отраслях экономики (реализация Программ по развитию импортозамещающих производств в странах - основных торговых партнерах);</w:t>
      </w:r>
    </w:p>
    <w:p>
      <w:pPr>
        <w:spacing w:after="60"/>
        <w:ind w:firstLine="567"/>
        <w:jc w:val="both"/>
      </w:pPr>
      <w:r>
        <w:rPr>
          <w:rFonts w:ascii="Arial" w:cs="Arial" w:eastAsia="Arial" w:hAnsi="Arial"/>
          <w:sz w:val="24"/>
          <w:szCs w:val="24"/>
        </w:rPr>
        <w:t xml:space="preserve">- недостаток собственных оборотных средств, ограниченность доступа к коммерческим кредитам вследствие высоких процентных ставок препятствует обновлению основных фондов, освоению новых технологий. Это приводит к неконкурентоспособности многих отечественных товаров по цене и качеству;</w:t>
      </w:r>
    </w:p>
    <w:p>
      <w:pPr>
        <w:spacing w:after="60"/>
        <w:ind w:firstLine="567"/>
        <w:jc w:val="both"/>
      </w:pPr>
      <w:r>
        <w:rPr>
          <w:rFonts w:ascii="Arial" w:cs="Arial" w:eastAsia="Arial" w:hAnsi="Arial"/>
          <w:sz w:val="24"/>
          <w:szCs w:val="24"/>
        </w:rPr>
        <w:t xml:space="preserve">- дополнительные финансовые расходы, связанные с переходом на альтернативные источники энергии;</w:t>
      </w:r>
    </w:p>
    <w:p>
      <w:pPr>
        <w:spacing w:after="60"/>
        <w:ind w:firstLine="567"/>
        <w:jc w:val="both"/>
      </w:pPr>
      <w:r>
        <w:rPr>
          <w:rFonts w:ascii="Arial" w:cs="Arial" w:eastAsia="Arial" w:hAnsi="Arial"/>
          <w:sz w:val="24"/>
          <w:szCs w:val="24"/>
        </w:rPr>
        <w:t xml:space="preserve">- колебание рыночной конъюнктуры цен и валютных курсов;</w:t>
      </w:r>
    </w:p>
    <w:p>
      <w:pPr>
        <w:spacing w:after="60"/>
        <w:ind w:firstLine="567"/>
        <w:jc w:val="both"/>
      </w:pPr>
      <w:r>
        <w:rPr>
          <w:rFonts w:ascii="Arial" w:cs="Arial" w:eastAsia="Arial" w:hAnsi="Arial"/>
          <w:sz w:val="24"/>
          <w:szCs w:val="24"/>
        </w:rPr>
        <w:t xml:space="preserve">- интенсивный износ оборудования и отсутствие средств на его обновление;</w:t>
      </w:r>
    </w:p>
    <w:p>
      <w:pPr>
        <w:spacing w:after="60"/>
        <w:ind w:firstLine="567"/>
        <w:jc w:val="both"/>
      </w:pPr>
      <w:r>
        <w:rPr>
          <w:rFonts w:ascii="Arial" w:cs="Arial" w:eastAsia="Arial" w:hAnsi="Arial"/>
          <w:sz w:val="24"/>
          <w:szCs w:val="24"/>
        </w:rPr>
        <w:t xml:space="preserve">- снижение конкурентоспособности продукции из-за высокой себестоимости по причине удорожания сырья и материалов, поставляемых по импорту;</w:t>
      </w:r>
    </w:p>
    <w:p>
      <w:pPr>
        <w:spacing w:after="60"/>
        <w:ind w:firstLine="567"/>
        <w:jc w:val="both"/>
      </w:pPr>
      <w:r>
        <w:rPr>
          <w:rFonts w:ascii="Arial" w:cs="Arial" w:eastAsia="Arial" w:hAnsi="Arial"/>
          <w:sz w:val="24"/>
          <w:szCs w:val="24"/>
        </w:rPr>
        <w:t xml:space="preserve">- противостояние части местного населения и недропользователя, приводящее к остановке запуска объектов промышленности;</w:t>
      </w:r>
    </w:p>
    <w:p>
      <w:pPr>
        <w:spacing w:after="60"/>
        <w:ind w:firstLine="567"/>
        <w:jc w:val="both"/>
      </w:pPr>
      <w:r>
        <w:rPr>
          <w:rFonts w:ascii="Arial" w:cs="Arial" w:eastAsia="Arial" w:hAnsi="Arial"/>
          <w:sz w:val="24"/>
          <w:szCs w:val="24"/>
        </w:rPr>
        <w:t xml:space="preserve">- снижение объемов добычи металла, из-за неподтверждения содержания металла в руде, добываемого на месторождениях;</w:t>
      </w:r>
    </w:p>
    <w:p>
      <w:pPr>
        <w:spacing w:after="60"/>
        <w:ind w:firstLine="567"/>
        <w:jc w:val="both"/>
      </w:pPr>
      <w:r>
        <w:rPr>
          <w:rFonts w:ascii="Arial" w:cs="Arial" w:eastAsia="Arial" w:hAnsi="Arial"/>
          <w:sz w:val="24"/>
          <w:szCs w:val="24"/>
        </w:rPr>
        <w:t xml:space="preserve">- форс-мажорные обстоятельства: сокращение объемов поставки природного газа в республику, неритмичность подачи газа и электроэнергии на промышленные предприятия, непрерывный цикл работы которых полностью основан на использовании электроэнергии и газа;</w:t>
      </w:r>
    </w:p>
    <w:p>
      <w:pPr>
        <w:spacing w:after="60"/>
        <w:ind w:firstLine="567"/>
        <w:jc w:val="both"/>
      </w:pPr>
      <w:r>
        <w:rPr>
          <w:rFonts w:ascii="Arial" w:cs="Arial" w:eastAsia="Arial" w:hAnsi="Arial"/>
          <w:sz w:val="24"/>
          <w:szCs w:val="24"/>
        </w:rPr>
        <w:t xml:space="preserve">- снижение спроса на стройматериалы из-за ухудшения платежеспособности населения и др.</w:t>
      </w:r>
    </w:p>
    <w:p>
      <w:pPr>
        <w:spacing w:after="60"/>
        <w:ind w:firstLine="567"/>
        <w:jc w:val="both"/>
      </w:pPr>
      <w:r>
        <w:rPr>
          <w:rFonts w:ascii="Arial" w:cs="Arial" w:eastAsia="Arial" w:hAnsi="Arial"/>
          <w:sz w:val="24"/>
          <w:szCs w:val="24"/>
        </w:rPr>
        <w:t xml:space="preserve">Строительство. На развитие экономики и социальной сферы в 2017-2019 годах по всем источникам финансирования прогнозируется направить от 174,3 млрд. сомов в 2017 году до 236,8 млрд. сомов - в 2019 году инвестиций в основной капитал, что составляет в среднем ежегодное увеличение на 12%.</w:t>
      </w:r>
    </w:p>
    <w:p>
      <w:pPr>
        <w:spacing w:after="60"/>
        <w:ind w:firstLine="567"/>
        <w:jc w:val="both"/>
      </w:pPr>
      <w:r>
        <w:rPr>
          <w:rFonts w:ascii="Arial" w:cs="Arial" w:eastAsia="Arial" w:hAnsi="Arial"/>
          <w:sz w:val="24"/>
          <w:szCs w:val="24"/>
        </w:rPr>
        <w:t xml:space="preserve">Структура капитальных вложений в 2019 году изменится в сторону снижения доли внутренних инвестиций до 50,4% против 54,8% в 2017 году и, соответственно, увеличения доли внешних инвестиций с 45,2% до 49,6%.</w:t>
      </w:r>
    </w:p>
    <w:p>
      <w:pPr>
        <w:spacing w:after="60"/>
        <w:ind w:firstLine="567"/>
        <w:jc w:val="both"/>
      </w:pPr>
      <w:r>
        <w:rPr>
          <w:rFonts w:ascii="Arial" w:cs="Arial" w:eastAsia="Arial" w:hAnsi="Arial"/>
          <w:sz w:val="24"/>
          <w:szCs w:val="24"/>
        </w:rPr>
        <w:t xml:space="preserve">В среднесрочном периоде основную долю в структуре внутренних инвестиций будут занимать средства предприятий, организаций и населения, составив в среднем 93%, а в структуре внешних инвестиций - иностранные кредиты - 76%, прямые иностранные инвестиции - 20,5%.</w:t>
      </w:r>
    </w:p>
    <w:p>
      <w:pPr>
        <w:spacing w:after="60"/>
        <w:ind w:firstLine="567"/>
        <w:jc w:val="both"/>
      </w:pPr>
      <w:r>
        <w:rPr>
          <w:rFonts w:ascii="Arial" w:cs="Arial" w:eastAsia="Arial" w:hAnsi="Arial"/>
          <w:sz w:val="24"/>
          <w:szCs w:val="24"/>
        </w:rPr>
        <w:t xml:space="preserve">В период с 2017 по 2019 годы общая сумма капитальных вложений за счет государственного бюджета составит 18,3 млрд. сомов. Данные средства будут направлены на завершение строительства ранее начатых объектов образования, здравоохранения, культуры и спорта, будет продолжаться финансирование строительства и развития социальной и инженерной инфраструктуры города Бишкек, также планируется финансирование в приоритетном порядке строительства автомобильных дорог стратегического значения, в том числе строительства автодороги Каракол-Тюп-Кеген, и автодорог, находящихся в приграничных районах республики, в том числе автодороги в Баткенской области, в соответствии с госпрограммой строительства водохозяйственных сооружений будет продолжено финансирование, направленное на завершение строительства ирригационных каналов, которое позволит осваивать значительные площади новых орошаемых земель в Баткенской, Нарынской, Таласской и других областях Кыргызской Республики.</w:t>
      </w:r>
    </w:p>
    <w:p>
      <w:pPr>
        <w:spacing w:after="60"/>
        <w:ind w:firstLine="567"/>
        <w:jc w:val="both"/>
      </w:pPr>
      <w:r>
        <w:rPr>
          <w:rFonts w:ascii="Arial" w:cs="Arial" w:eastAsia="Arial" w:hAnsi="Arial"/>
          <w:sz w:val="24"/>
          <w:szCs w:val="24"/>
        </w:rPr>
        <w:t xml:space="preserve">Запланированы следующие крупные инвестиционные проекты в энергетической отрасли:</w:t>
      </w:r>
    </w:p>
    <w:p>
      <w:pPr>
        <w:spacing w:after="60"/>
        <w:ind w:firstLine="567"/>
        <w:jc w:val="both"/>
      </w:pPr>
      <w:r>
        <w:rPr>
          <w:rFonts w:ascii="Arial" w:cs="Arial" w:eastAsia="Arial" w:hAnsi="Arial"/>
          <w:sz w:val="24"/>
          <w:szCs w:val="24"/>
        </w:rPr>
        <w:t xml:space="preserve">- "Реконструкция ТЭЦ города Бишкек" (1335,6 млн. сомов);</w:t>
      </w:r>
    </w:p>
    <w:p>
      <w:pPr>
        <w:spacing w:after="60"/>
        <w:ind w:firstLine="567"/>
        <w:jc w:val="both"/>
      </w:pPr>
      <w:r>
        <w:rPr>
          <w:rFonts w:ascii="Arial" w:cs="Arial" w:eastAsia="Arial" w:hAnsi="Arial"/>
          <w:sz w:val="24"/>
          <w:szCs w:val="24"/>
        </w:rPr>
        <w:t xml:space="preserve">- проекты Азиатского банка развития "Развитие сектора энергетики" (700,7 млн. сомов);</w:t>
      </w:r>
    </w:p>
    <w:p>
      <w:pPr>
        <w:spacing w:after="60"/>
        <w:ind w:firstLine="567"/>
        <w:jc w:val="both"/>
      </w:pPr>
      <w:r>
        <w:rPr>
          <w:rFonts w:ascii="Arial" w:cs="Arial" w:eastAsia="Arial" w:hAnsi="Arial"/>
          <w:sz w:val="24"/>
          <w:szCs w:val="24"/>
        </w:rPr>
        <w:t xml:space="preserve">- "Реабилитация сектора энергетики" (12362,4 млн. сомов), включая вторую и третью фазы проекта "Реабилитация сектора энергетики" (2 фаза - 4753,5 млн. сомов, 3 фаза - 5190,4 млн. сомов;</w:t>
      </w:r>
    </w:p>
    <w:p>
      <w:pPr>
        <w:spacing w:after="60"/>
        <w:ind w:firstLine="567"/>
        <w:jc w:val="both"/>
      </w:pPr>
      <w:r>
        <w:rPr>
          <w:rFonts w:ascii="Arial" w:cs="Arial" w:eastAsia="Arial" w:hAnsi="Arial"/>
          <w:sz w:val="24"/>
          <w:szCs w:val="24"/>
        </w:rPr>
        <w:t xml:space="preserve">- планируемые проекты Всемирного банка, "Проект CASA-1000" (4449,0 млн. сомов);</w:t>
      </w:r>
    </w:p>
    <w:p>
      <w:pPr>
        <w:spacing w:after="60"/>
        <w:ind w:firstLine="567"/>
        <w:jc w:val="both"/>
      </w:pPr>
      <w:r>
        <w:rPr>
          <w:rFonts w:ascii="Arial" w:cs="Arial" w:eastAsia="Arial" w:hAnsi="Arial"/>
          <w:sz w:val="24"/>
          <w:szCs w:val="24"/>
        </w:rPr>
        <w:t xml:space="preserve">- проект "Повышение подотчетности и надежности электроснабжения" (881,8 млн. сомов);</w:t>
      </w:r>
    </w:p>
    <w:p>
      <w:pPr>
        <w:spacing w:after="60"/>
        <w:ind w:firstLine="567"/>
        <w:jc w:val="both"/>
      </w:pPr>
      <w:r>
        <w:rPr>
          <w:rFonts w:ascii="Arial" w:cs="Arial" w:eastAsia="Arial" w:hAnsi="Arial"/>
          <w:sz w:val="24"/>
          <w:szCs w:val="24"/>
        </w:rPr>
        <w:t xml:space="preserve">- проектов Исламского банка развития "Улучшение электроснабжения гор. Бишкек и гор. Ош" (258,3 млн. сомов);</w:t>
      </w:r>
    </w:p>
    <w:p>
      <w:pPr>
        <w:spacing w:after="60"/>
        <w:ind w:firstLine="567"/>
        <w:jc w:val="both"/>
      </w:pPr>
      <w:r>
        <w:rPr>
          <w:rFonts w:ascii="Arial" w:cs="Arial" w:eastAsia="Arial" w:hAnsi="Arial"/>
          <w:sz w:val="24"/>
          <w:szCs w:val="24"/>
        </w:rPr>
        <w:t xml:space="preserve">- "Улучшение электроснабжения Аркинского массива Лейлекского района" (259,2 млн. сомов), проект, финансируемый Швейцарской Конфедерацией "Реабилитация Атбашинской ГЭС" (1020,9 млн. сомов) и др.</w:t>
      </w:r>
    </w:p>
    <w:p>
      <w:pPr>
        <w:spacing w:after="60"/>
        <w:ind w:firstLine="567"/>
        <w:jc w:val="both"/>
      </w:pPr>
      <w:r>
        <w:rPr>
          <w:rFonts w:ascii="Arial" w:cs="Arial" w:eastAsia="Arial" w:hAnsi="Arial"/>
          <w:sz w:val="24"/>
          <w:szCs w:val="24"/>
        </w:rPr>
        <w:t xml:space="preserve">В части работы по дорожно-транспортной инфраструктуре в 2017-2019 годах прогнозируется продолжение реализации следующих проектов:</w:t>
      </w:r>
    </w:p>
    <w:p>
      <w:pPr>
        <w:spacing w:after="60"/>
        <w:ind w:firstLine="567"/>
        <w:jc w:val="both"/>
      </w:pPr>
      <w:r>
        <w:rPr>
          <w:rFonts w:ascii="Arial" w:cs="Arial" w:eastAsia="Arial" w:hAnsi="Arial"/>
          <w:sz w:val="24"/>
          <w:szCs w:val="24"/>
        </w:rPr>
        <w:t xml:space="preserve">- проекты, финансируемые Китайской Народной Республикой, строительство альтернативной дороги "Север-Юг" (9873,1 млн. сомов);</w:t>
      </w:r>
    </w:p>
    <w:p>
      <w:pPr>
        <w:spacing w:after="60"/>
        <w:ind w:firstLine="567"/>
        <w:jc w:val="both"/>
      </w:pPr>
      <w:r>
        <w:rPr>
          <w:rFonts w:ascii="Arial" w:cs="Arial" w:eastAsia="Arial" w:hAnsi="Arial"/>
          <w:sz w:val="24"/>
          <w:szCs w:val="24"/>
        </w:rPr>
        <w:t xml:space="preserve">- строительство альтернативной дороги "Север-Юг" вторая фаза (8239,9 млн. сомов);</w:t>
      </w:r>
    </w:p>
    <w:p>
      <w:pPr>
        <w:spacing w:after="60"/>
        <w:ind w:firstLine="567"/>
        <w:jc w:val="both"/>
      </w:pPr>
      <w:r>
        <w:rPr>
          <w:rFonts w:ascii="Arial" w:cs="Arial" w:eastAsia="Arial" w:hAnsi="Arial"/>
          <w:sz w:val="24"/>
          <w:szCs w:val="24"/>
        </w:rPr>
        <w:t xml:space="preserve">- "Реабилитация двух участков автодорог в Кыргызской Республике" (449,2 млн. сомов);</w:t>
      </w:r>
    </w:p>
    <w:p>
      <w:pPr>
        <w:spacing w:after="60"/>
        <w:ind w:firstLine="567"/>
        <w:jc w:val="both"/>
      </w:pPr>
      <w:r>
        <w:rPr>
          <w:rFonts w:ascii="Arial" w:cs="Arial" w:eastAsia="Arial" w:hAnsi="Arial"/>
          <w:sz w:val="24"/>
          <w:szCs w:val="24"/>
        </w:rPr>
        <w:t xml:space="preserve">- основные и дополнительные проекты Азиатского банка развития "Третий проект "Транспортный коридор-1 ЦАРЭС (Дорога Бишкек-Нарын-Торугарт" (75,0 млн. сомов);</w:t>
      </w:r>
    </w:p>
    <w:p>
      <w:pPr>
        <w:spacing w:after="60"/>
        <w:ind w:firstLine="567"/>
        <w:jc w:val="both"/>
      </w:pPr>
      <w:r>
        <w:rPr>
          <w:rFonts w:ascii="Arial" w:cs="Arial" w:eastAsia="Arial" w:hAnsi="Arial"/>
          <w:sz w:val="24"/>
          <w:szCs w:val="24"/>
        </w:rPr>
        <w:t xml:space="preserve">- "Усовершенствование коридора ЦАРЭС 3" (автодорога Бишкек-Ош) Фаза 4 (5521,8 млн. сомов);</w:t>
      </w:r>
    </w:p>
    <w:p>
      <w:pPr>
        <w:spacing w:after="60"/>
        <w:ind w:firstLine="567"/>
        <w:jc w:val="both"/>
      </w:pPr>
      <w:r>
        <w:rPr>
          <w:rFonts w:ascii="Arial" w:cs="Arial" w:eastAsia="Arial" w:hAnsi="Arial"/>
          <w:sz w:val="24"/>
          <w:szCs w:val="24"/>
        </w:rPr>
        <w:t xml:space="preserve">- проект "Бишкек-Нарын-Торугарт", финансируемый Арабской координационной группой (1241,5 млн. сомов);</w:t>
      </w:r>
    </w:p>
    <w:p>
      <w:pPr>
        <w:spacing w:after="60"/>
        <w:ind w:firstLine="567"/>
        <w:jc w:val="both"/>
      </w:pPr>
      <w:r>
        <w:rPr>
          <w:rFonts w:ascii="Arial" w:cs="Arial" w:eastAsia="Arial" w:hAnsi="Arial"/>
          <w:sz w:val="24"/>
          <w:szCs w:val="24"/>
        </w:rPr>
        <w:t xml:space="preserve">- проект Исламского банка развития "Реабилитация автомобильной дороги "Ош-Баткен-Исфана" (761,1 млн. сомов);</w:t>
      </w:r>
    </w:p>
    <w:p>
      <w:pPr>
        <w:spacing w:after="60"/>
        <w:ind w:firstLine="567"/>
        <w:jc w:val="both"/>
      </w:pPr>
      <w:r>
        <w:rPr>
          <w:rFonts w:ascii="Arial" w:cs="Arial" w:eastAsia="Arial" w:hAnsi="Arial"/>
          <w:sz w:val="24"/>
          <w:szCs w:val="24"/>
        </w:rPr>
        <w:t xml:space="preserve">- проект, финансируемый Исламским банком развития и Саудовским фондом развития "Реконструкция автодороги "Тараз-Талас-Суусамыр - 3" (562,6 млн. сомов);</w:t>
      </w:r>
    </w:p>
    <w:p>
      <w:pPr>
        <w:spacing w:after="60"/>
        <w:ind w:firstLine="567"/>
        <w:jc w:val="both"/>
      </w:pPr>
      <w:r>
        <w:rPr>
          <w:rFonts w:ascii="Arial" w:cs="Arial" w:eastAsia="Arial" w:hAnsi="Arial"/>
          <w:sz w:val="24"/>
          <w:szCs w:val="24"/>
        </w:rPr>
        <w:t xml:space="preserve">- проект Арабской координационной группы Европейско-Азиатского банка развития "Улучшение автодороги Бишкек-Ош, Фаза 4" (1,0 млн. сомов) и др.</w:t>
      </w:r>
    </w:p>
    <w:p>
      <w:pPr>
        <w:spacing w:after="60"/>
        <w:ind w:firstLine="567"/>
        <w:jc w:val="both"/>
      </w:pPr>
      <w:r>
        <w:rPr>
          <w:rFonts w:ascii="Arial" w:cs="Arial" w:eastAsia="Arial" w:hAnsi="Arial"/>
          <w:sz w:val="24"/>
          <w:szCs w:val="24"/>
        </w:rPr>
        <w:t xml:space="preserve">Исходя из прогнозируемого объема освоения капитальных вложений, темп роста строительства в 2017-2019 годах прогнозируется в среднем на уровне 111,7%. При этом, удельный вес строительной отрасли возрастет с 9,3% к ВВП в 2017 году до 10,4% к ВВП - в 2019 году. Влияние строительного сектора на темпы экономического роста на прогнозируемый период будет положительным и составит в среднем 1,1 процентного пункта.</w:t>
      </w:r>
    </w:p>
    <w:p>
      <w:pPr>
        <w:spacing w:after="120" w:before="200"/>
        <w:jc w:val="left"/>
      </w:pPr>
      <w:r>
        <w:rPr>
          <w:rFonts w:ascii="Arial" w:cs="Arial" w:eastAsia="Arial" w:hAnsi="Arial"/>
          <w:b/>
          <w:bCs/>
          <w:sz w:val="24"/>
          <w:szCs w:val="24"/>
        </w:rPr>
        <w:t xml:space="preserve">Таблица 18. Среднесрочный прогноз развития строительства Кыргызской Республики (2017-2019 гг.)</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78"/>
        <w:gridCol w:w="1417"/>
        <w:gridCol w:w="1419"/>
        <w:gridCol w:w="1419"/>
        <w:gridCol w:w="2046"/>
      </w:tblGrid>
      <w:tr>
        <w:tc>
          <w:tcPr>
            <w:tcW w:type="dxa" w:w="387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41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 прогноз</w:t>
            </w:r>
          </w:p>
        </w:tc>
        <w:tc>
          <w:tcPr>
            <w:tcW w:type="dxa" w:w="141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 прогноз</w:t>
            </w:r>
          </w:p>
        </w:tc>
        <w:tc>
          <w:tcPr>
            <w:tcW w:type="dxa" w:w="141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 прогноз</w:t>
            </w:r>
          </w:p>
        </w:tc>
        <w:tc>
          <w:tcPr>
            <w:tcW w:type="dxa" w:w="204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Среднее значение за 2017-2019 гг.</w:t>
            </w:r>
          </w:p>
        </w:tc>
      </w:tr>
      <w:tr>
        <w:tc>
          <w:tcPr>
            <w:tcW w:type="dxa" w:w="38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Инвестиции в основном капитал, млн. сомов</w:t>
            </w:r>
          </w:p>
        </w:tc>
        <w:tc>
          <w:tcPr>
            <w:tcW w:type="dxa" w:w="14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174294,9</w:t>
            </w:r>
          </w:p>
        </w:tc>
        <w:tc>
          <w:tcPr>
            <w:tcW w:type="dxa" w:w="14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203860,6</w:t>
            </w:r>
          </w:p>
        </w:tc>
        <w:tc>
          <w:tcPr>
            <w:tcW w:type="dxa" w:w="14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236841,7</w:t>
            </w:r>
          </w:p>
        </w:tc>
        <w:tc>
          <w:tcPr>
            <w:tcW w:type="dxa" w:w="2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8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4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114,7</w:t>
            </w:r>
          </w:p>
        </w:tc>
        <w:tc>
          <w:tcPr>
            <w:tcW w:type="dxa" w:w="14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111,1</w:t>
            </w:r>
          </w:p>
        </w:tc>
        <w:tc>
          <w:tcPr>
            <w:tcW w:type="dxa" w:w="14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110,1</w:t>
            </w:r>
          </w:p>
        </w:tc>
        <w:tc>
          <w:tcPr>
            <w:tcW w:type="dxa" w:w="2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112,0</w:t>
            </w:r>
          </w:p>
        </w:tc>
      </w:tr>
      <w:tr>
        <w:tc>
          <w:tcPr>
            <w:tcW w:type="dxa" w:w="38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4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8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Внутренние инвестиции, млн. сомов</w:t>
            </w:r>
          </w:p>
        </w:tc>
        <w:tc>
          <w:tcPr>
            <w:tcW w:type="dxa" w:w="14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95527,0</w:t>
            </w:r>
          </w:p>
        </w:tc>
        <w:tc>
          <w:tcPr>
            <w:tcW w:type="dxa" w:w="14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107210,3</w:t>
            </w:r>
          </w:p>
        </w:tc>
        <w:tc>
          <w:tcPr>
            <w:tcW w:type="dxa" w:w="14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119253,1</w:t>
            </w:r>
          </w:p>
        </w:tc>
        <w:tc>
          <w:tcPr>
            <w:tcW w:type="dxa" w:w="2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8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4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112,1</w:t>
            </w:r>
          </w:p>
        </w:tc>
        <w:tc>
          <w:tcPr>
            <w:tcW w:type="dxa" w:w="14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106,6</w:t>
            </w:r>
          </w:p>
        </w:tc>
        <w:tc>
          <w:tcPr>
            <w:tcW w:type="dxa" w:w="14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w:t>
            </w:r>
          </w:p>
        </w:tc>
        <w:tc>
          <w:tcPr>
            <w:tcW w:type="dxa" w:w="2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r>
      <w:tr>
        <w:tc>
          <w:tcPr>
            <w:tcW w:type="dxa" w:w="38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Внешние инвестиции, млн. сомов</w:t>
            </w:r>
          </w:p>
        </w:tc>
        <w:tc>
          <w:tcPr>
            <w:tcW w:type="dxa" w:w="14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78767,9</w:t>
            </w:r>
          </w:p>
        </w:tc>
        <w:tc>
          <w:tcPr>
            <w:tcW w:type="dxa" w:w="14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96650,3</w:t>
            </w:r>
          </w:p>
        </w:tc>
        <w:tc>
          <w:tcPr>
            <w:tcW w:type="dxa" w:w="14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117588,6</w:t>
            </w:r>
          </w:p>
        </w:tc>
        <w:tc>
          <w:tcPr>
            <w:tcW w:type="dxa" w:w="2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8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4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118,0</w:t>
            </w:r>
          </w:p>
        </w:tc>
        <w:tc>
          <w:tcPr>
            <w:tcW w:type="dxa" w:w="14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116,5</w:t>
            </w:r>
          </w:p>
        </w:tc>
        <w:tc>
          <w:tcPr>
            <w:tcW w:type="dxa" w:w="14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115,3</w:t>
            </w:r>
          </w:p>
        </w:tc>
        <w:tc>
          <w:tcPr>
            <w:tcW w:type="dxa" w:w="2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116,6</w:t>
            </w:r>
          </w:p>
        </w:tc>
      </w:tr>
      <w:tr>
        <w:tc>
          <w:tcPr>
            <w:tcW w:type="dxa" w:w="38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Объем строительства, млн. сомов</w:t>
            </w:r>
          </w:p>
        </w:tc>
        <w:tc>
          <w:tcPr>
            <w:tcW w:type="dxa" w:w="14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155766,3</w:t>
            </w:r>
          </w:p>
        </w:tc>
        <w:tc>
          <w:tcPr>
            <w:tcW w:type="dxa" w:w="14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183278,1</w:t>
            </w:r>
          </w:p>
        </w:tc>
        <w:tc>
          <w:tcPr>
            <w:tcW w:type="dxa" w:w="14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217721,5</w:t>
            </w:r>
          </w:p>
        </w:tc>
        <w:tc>
          <w:tcPr>
            <w:tcW w:type="dxa" w:w="2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8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4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110,9</w:t>
            </w:r>
          </w:p>
        </w:tc>
        <w:tc>
          <w:tcPr>
            <w:tcW w:type="dxa" w:w="14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111,7</w:t>
            </w:r>
          </w:p>
        </w:tc>
        <w:tc>
          <w:tcPr>
            <w:tcW w:type="dxa" w:w="14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112,6</w:t>
            </w:r>
          </w:p>
        </w:tc>
        <w:tc>
          <w:tcPr>
            <w:tcW w:type="dxa" w:w="20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111,7</w:t>
            </w:r>
          </w:p>
        </w:tc>
      </w:tr>
    </w:tbl>
    <w:p>
      <w:pPr>
        <w:spacing w:after="60" w:before="120"/>
        <w:ind w:firstLine="567"/>
        <w:jc w:val="both"/>
      </w:pPr>
      <w:r>
        <w:rPr>
          <w:rFonts w:ascii="Arial" w:cs="Arial" w:eastAsia="Arial" w:hAnsi="Arial"/>
          <w:sz w:val="24"/>
          <w:szCs w:val="24"/>
        </w:rPr>
        <w:t xml:space="preserve">В региональном разрезе рост объемов строительства прогнозируется во всех регионах за счет ввода ранее начатых социальных объектов, активизации и реализации инвестиционных проектов в транспортной, горнодобывающей и энергетической отраслях экономики. В 2017-2019 годах основную долю будут занимать город Бишкек (32,5%), Чуйская (28,3%), Иссык-Кульская (11,7%) и Джалал-Абадская (10,7%) области.</w:t>
      </w:r>
    </w:p>
    <w:p>
      <w:pPr>
        <w:spacing w:after="60"/>
        <w:ind w:firstLine="567"/>
        <w:jc w:val="both"/>
      </w:pPr>
      <w:r>
        <w:rPr>
          <w:rFonts w:ascii="Arial" w:cs="Arial" w:eastAsia="Arial" w:hAnsi="Arial"/>
          <w:sz w:val="24"/>
          <w:szCs w:val="24"/>
        </w:rPr>
        <w:t xml:space="preserve">Объем валовых накоплений в основной капитал, исходя из прогнозируемого уровня капитальных вложений, номинально возрастет на 25,6% (со 191,4 млрд. сомов в 2017 году до 240,5 млрд. сомов - в 2019 году). Их удельный вес составит 37,7% к ВВП в среднем за год, а среднегодовой темп реального роста прогнозируется на уровне 5,6%. Рост валовых инвестиций в 2017-2019 годах должен стать надежным источником прогнозируемого экономического роста на уровне 4,4% в среднем за год. При этом удельный вес частных инвестиций возрастет с 29,3% в 2017 году до 31,1% - в 2019 году от общего объема ВВП, а доля государственных инвестиций, включая Программу государственных инвестиций (далее - ПГИ), снизится с 8,1% в 2017 году до 6,8% - в 2019 году. Ресурсы этой Программы будут, в основном, направляться на финансирование проектов энергетики, транспортной инфраструктуры, сельского хозяйства, включая ирригацию и сельское водоснабжение.</w:t>
      </w:r>
    </w:p>
    <w:p>
      <w:pPr>
        <w:spacing w:after="60"/>
        <w:ind w:firstLine="567"/>
        <w:jc w:val="both"/>
      </w:pPr>
      <w:r>
        <w:rPr>
          <w:rFonts w:ascii="Arial" w:cs="Arial" w:eastAsia="Arial" w:hAnsi="Arial"/>
          <w:sz w:val="24"/>
          <w:szCs w:val="24"/>
        </w:rPr>
        <w:t xml:space="preserve">В среднесрочном периоде на развитие строительства могут оказать влияние следующие риски и угрозы:</w:t>
      </w:r>
    </w:p>
    <w:p>
      <w:pPr>
        <w:spacing w:after="60"/>
        <w:ind w:firstLine="567"/>
        <w:jc w:val="both"/>
      </w:pPr>
      <w:r>
        <w:rPr>
          <w:rFonts w:ascii="Arial" w:cs="Arial" w:eastAsia="Arial" w:hAnsi="Arial"/>
          <w:sz w:val="24"/>
          <w:szCs w:val="24"/>
        </w:rPr>
        <w:t xml:space="preserve">- влияние инфляционных процессов на строительные материалы;</w:t>
      </w:r>
    </w:p>
    <w:p>
      <w:pPr>
        <w:spacing w:after="60"/>
        <w:ind w:firstLine="567"/>
        <w:jc w:val="both"/>
      </w:pPr>
      <w:r>
        <w:rPr>
          <w:rFonts w:ascii="Arial" w:cs="Arial" w:eastAsia="Arial" w:hAnsi="Arial"/>
          <w:sz w:val="24"/>
          <w:szCs w:val="24"/>
        </w:rPr>
        <w:t xml:space="preserve">- перебои финансирования части крупных инвестиционных проектов;</w:t>
      </w:r>
    </w:p>
    <w:p>
      <w:pPr>
        <w:spacing w:after="60"/>
        <w:ind w:firstLine="567"/>
        <w:jc w:val="both"/>
      </w:pPr>
      <w:r>
        <w:rPr>
          <w:rFonts w:ascii="Arial" w:cs="Arial" w:eastAsia="Arial" w:hAnsi="Arial"/>
          <w:sz w:val="24"/>
          <w:szCs w:val="24"/>
        </w:rPr>
        <w:t xml:space="preserve">- сокращение объемов жилищного строительства за счет средств населения из-за продолжения снижения чистого притока денежных переводов физических лиц, осуществленных через системы переводов;</w:t>
      </w:r>
    </w:p>
    <w:p>
      <w:pPr>
        <w:spacing w:after="60"/>
        <w:ind w:firstLine="567"/>
        <w:jc w:val="both"/>
      </w:pPr>
      <w:r>
        <w:rPr>
          <w:rFonts w:ascii="Arial" w:cs="Arial" w:eastAsia="Arial" w:hAnsi="Arial"/>
          <w:sz w:val="24"/>
          <w:szCs w:val="24"/>
        </w:rPr>
        <w:t xml:space="preserve">- сокращение объемов капитальных вложений на предприятиях и организациях со стороны ЗАО "Кумтор Голд компани" и ОАО "Кыргызалтын", "Газпром Кыргызстан" и др.;</w:t>
      </w:r>
    </w:p>
    <w:p>
      <w:pPr>
        <w:spacing w:after="60"/>
        <w:ind w:firstLine="567"/>
        <w:jc w:val="both"/>
      </w:pPr>
      <w:r>
        <w:rPr>
          <w:rFonts w:ascii="Arial" w:cs="Arial" w:eastAsia="Arial" w:hAnsi="Arial"/>
          <w:sz w:val="24"/>
          <w:szCs w:val="24"/>
        </w:rPr>
        <w:t xml:space="preserve">- возможная приостановка финансирования части крупных инвестиционных проектов (Верхне-Нарынский каскад ГЭС, Камбарата 1, 2) и т.д.</w:t>
      </w:r>
    </w:p>
    <w:p>
      <w:pPr>
        <w:spacing w:after="60"/>
        <w:ind w:firstLine="567"/>
        <w:jc w:val="both"/>
      </w:pPr>
      <w:r>
        <w:rPr>
          <w:rFonts w:ascii="Arial" w:cs="Arial" w:eastAsia="Arial" w:hAnsi="Arial"/>
          <w:sz w:val="24"/>
          <w:szCs w:val="24"/>
        </w:rPr>
        <w:t xml:space="preserve">В сфере услуг темп реального роста в среднесрочной перспективе составит 4,4% в среднем за год, что позволит сфере услуг внести самый значимый вклад в рост ВВП, который в среднем составит 2,19 процентного пункта. Доля сферы услуг в ВВП на протяжении 2017-2019 годов составит в среднем 51,6% и останется традиционно самой высокой.</w:t>
      </w:r>
    </w:p>
    <w:p>
      <w:pPr>
        <w:spacing w:after="60"/>
        <w:ind w:firstLine="567"/>
        <w:jc w:val="both"/>
      </w:pPr>
      <w:r>
        <w:rPr>
          <w:rFonts w:ascii="Arial" w:cs="Arial" w:eastAsia="Arial" w:hAnsi="Arial"/>
          <w:sz w:val="24"/>
          <w:szCs w:val="24"/>
        </w:rPr>
        <w:t xml:space="preserve">Рост сферы услуг прогнозируется, в основном, за счет расширения рыночных услуг, которые в структуре отрасли занимают наибольший удельный вес. При этом, удельный вес рыночных услуг увеличится с 75,8% в 2017 году до 76,5% - в 2019 году.</w:t>
      </w:r>
    </w:p>
    <w:p>
      <w:pPr>
        <w:spacing w:after="60"/>
        <w:ind w:firstLine="567"/>
        <w:jc w:val="both"/>
      </w:pPr>
      <w:r>
        <w:rPr>
          <w:rFonts w:ascii="Arial" w:cs="Arial" w:eastAsia="Arial" w:hAnsi="Arial"/>
          <w:sz w:val="24"/>
          <w:szCs w:val="24"/>
        </w:rPr>
        <w:t xml:space="preserve">Основными отраслями сферы услуг, которые внесут наибольший вклад в рост являются следующие: оптовая и розничная торговля, ремонт автомобилей и мотоциклов со среднегодовым темпом прироста в 7,1%; услуги транспортной деятельности и хранения грузов - в 6,5%, деятельности гостиниц и ресторанов - 8,0%.</w:t>
      </w:r>
    </w:p>
    <w:p>
      <w:pPr>
        <w:spacing w:after="120" w:before="200"/>
        <w:ind w:firstLine="567"/>
        <w:jc w:val="left"/>
      </w:pPr>
      <w:r>
        <w:rPr>
          <w:rFonts w:ascii="Arial" w:cs="Arial" w:eastAsia="Arial" w:hAnsi="Arial"/>
          <w:b/>
          <w:bCs/>
          <w:sz w:val="24"/>
          <w:szCs w:val="24"/>
        </w:rPr>
        <w:t xml:space="preserve">Таблица 19. Среднесрочный прогноз развития сферы услуг на 2017-2019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282"/>
        <w:gridCol w:w="1223"/>
        <w:gridCol w:w="1223"/>
        <w:gridCol w:w="1223"/>
        <w:gridCol w:w="1225"/>
      </w:tblGrid>
      <w:tr>
        <w:tc>
          <w:tcPr>
            <w:tcW w:type="dxa" w:w="528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 прогноз</w:t>
            </w:r>
          </w:p>
        </w:tc>
        <w:tc>
          <w:tcPr>
            <w:tcW w:type="dxa" w:w="122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 прогноз</w:t>
            </w:r>
          </w:p>
        </w:tc>
        <w:tc>
          <w:tcPr>
            <w:tcW w:type="dxa" w:w="122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 прогноз</w:t>
            </w:r>
          </w:p>
        </w:tc>
        <w:tc>
          <w:tcPr>
            <w:tcW w:type="dxa" w:w="122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Среднее значение за 2017-2019 гг.</w:t>
            </w:r>
          </w:p>
        </w:tc>
      </w:tr>
      <w:tr>
        <w:tc>
          <w:tcPr>
            <w:tcW w:type="dxa" w:w="52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Сфера услуг, темп реального роста в %</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c>
          <w:tcPr>
            <w:tcW w:type="dxa" w:w="12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r>
      <w:tr>
        <w:tc>
          <w:tcPr>
            <w:tcW w:type="dxa" w:w="52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Оптовая и розничная торговля; ремонт автомобилей и мотоциклов, темп реального роста, в %</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107,5</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107,8</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12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107,1</w:t>
            </w:r>
          </w:p>
        </w:tc>
      </w:tr>
      <w:tr>
        <w:tc>
          <w:tcPr>
            <w:tcW w:type="dxa" w:w="52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Транспортная деятельность и хранение грузов, темп реального роста, в %</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107,2</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w:t>
            </w:r>
          </w:p>
        </w:tc>
        <w:tc>
          <w:tcPr>
            <w:tcW w:type="dxa" w:w="12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r>
      <w:tr>
        <w:tc>
          <w:tcPr>
            <w:tcW w:type="dxa" w:w="52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Гостиницы и рестораны, темп реального роста, в %</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107,3</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109,3</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107,5</w:t>
            </w:r>
          </w:p>
        </w:tc>
        <w:tc>
          <w:tcPr>
            <w:tcW w:type="dxa" w:w="12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r>
      <w:tr>
        <w:tc>
          <w:tcPr>
            <w:tcW w:type="dxa" w:w="52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Информация и связь, темп реального роста, в %</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12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r>
      <w:tr>
        <w:tc>
          <w:tcPr>
            <w:tcW w:type="dxa" w:w="52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Финансовое посредничество и страхование, темп реального роста, в %</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100,9</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100,8</w:t>
            </w:r>
          </w:p>
        </w:tc>
        <w:tc>
          <w:tcPr>
            <w:tcW w:type="dxa" w:w="12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r>
      <w:tr>
        <w:tc>
          <w:tcPr>
            <w:tcW w:type="dxa" w:w="52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Операции с недвижимым имуществом, темп реального роста, в %</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100,9</w:t>
            </w:r>
          </w:p>
        </w:tc>
        <w:tc>
          <w:tcPr>
            <w:tcW w:type="dxa" w:w="12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r>
      <w:tr>
        <w:tc>
          <w:tcPr>
            <w:tcW w:type="dxa" w:w="52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Профессиональная, научная и техническая деятельность, темп реального роста, в %</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12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r>
      <w:tr>
        <w:tc>
          <w:tcPr>
            <w:tcW w:type="dxa" w:w="52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Административная и вспомогательная деятельность, темп реального роста, в %</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12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r>
      <w:tr>
        <w:tc>
          <w:tcPr>
            <w:tcW w:type="dxa" w:w="52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Государственное управление и оборона, обязательное социальное обеспечение, темп реального роста, в %</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w:t>
            </w:r>
          </w:p>
        </w:tc>
        <w:tc>
          <w:tcPr>
            <w:tcW w:type="dxa" w:w="12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w:t>
            </w:r>
          </w:p>
        </w:tc>
      </w:tr>
      <w:tr>
        <w:tc>
          <w:tcPr>
            <w:tcW w:type="dxa" w:w="52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Образование, темп реального роста, в %</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2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r>
      <w:tr>
        <w:tc>
          <w:tcPr>
            <w:tcW w:type="dxa" w:w="52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Здравоохранение и социальное обслуживание населения, темп реального роста, в %</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c>
          <w:tcPr>
            <w:tcW w:type="dxa" w:w="12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r>
      <w:tr>
        <w:tc>
          <w:tcPr>
            <w:tcW w:type="dxa" w:w="52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Искусство, развлечения и отдых, темп реального роста, в %</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2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r>
      <w:tr>
        <w:tc>
          <w:tcPr>
            <w:tcW w:type="dxa" w:w="52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Прочая обслуживающая деятельность, темп реального роста, в %</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100,9</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12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r>
    </w:tbl>
    <w:p>
      <w:pPr>
        <w:spacing w:after="60" w:before="120"/>
        <w:ind w:firstLine="567"/>
        <w:jc w:val="both"/>
      </w:pPr>
      <w:r>
        <w:rPr>
          <w:rFonts w:ascii="Arial" w:cs="Arial" w:eastAsia="Arial" w:hAnsi="Arial"/>
          <w:sz w:val="24"/>
          <w:szCs w:val="24"/>
        </w:rPr>
        <w:t xml:space="preserve">Основными источниками роста рыночных услуг являются торговля, услуги транспорта и связи, удельный вес которых составит в среднем 55,6% в общем объеме сферы услуг.</w:t>
      </w:r>
    </w:p>
    <w:p>
      <w:pPr>
        <w:spacing w:after="60"/>
        <w:ind w:firstLine="567"/>
        <w:jc w:val="both"/>
      </w:pPr>
      <w:r>
        <w:rPr>
          <w:rFonts w:ascii="Arial" w:cs="Arial" w:eastAsia="Arial" w:hAnsi="Arial"/>
          <w:sz w:val="24"/>
          <w:szCs w:val="24"/>
        </w:rPr>
        <w:t xml:space="preserve">Торговля является одним из главных источников роста рыночных услуг. Среднегодовой темп реального роста торговли прогнозируется на уровне 7,1%, а удельный вес - 48,6% в структуре рыночных услуг.</w:t>
      </w:r>
    </w:p>
    <w:p>
      <w:pPr>
        <w:spacing w:after="60"/>
        <w:ind w:firstLine="567"/>
        <w:jc w:val="both"/>
      </w:pPr>
      <w:r>
        <w:rPr>
          <w:rFonts w:ascii="Arial" w:cs="Arial" w:eastAsia="Arial" w:hAnsi="Arial"/>
          <w:sz w:val="24"/>
          <w:szCs w:val="24"/>
        </w:rPr>
        <w:t xml:space="preserve">Для достижения цели создания благоприятных условий для развития внутренней торговли предлагается разработать проект новой редакции Закона Кыргызской Республики "Об электронной коммерции", позволяющий урегулировать основы и правила ведения электронной коммерции.</w:t>
      </w:r>
    </w:p>
    <w:p>
      <w:pPr>
        <w:spacing w:after="60"/>
        <w:ind w:firstLine="567"/>
        <w:jc w:val="both"/>
      </w:pPr>
      <w:r>
        <w:rPr>
          <w:rFonts w:ascii="Arial" w:cs="Arial" w:eastAsia="Arial" w:hAnsi="Arial"/>
          <w:sz w:val="24"/>
          <w:szCs w:val="24"/>
        </w:rPr>
        <w:t xml:space="preserve">Другим важным направлением развития рыночных услуг будут транспортные услуги с реальным темпом роста на 5,0% в среднем за год и удельным весом 11,6% в общем объеме рыночных услуг. Учитывая, что основным видом транспорта, используемым в республике, является автомобильный транспорт, основными приоритетами в среднесрочной перспективе будут: (а) удовлетворение потребностей населения в пассажирских и грузовых транспортных перевозках; (б) обновление и пополнение парка автотранспортных средств; (в) реабилитация и поддержание дорожной сети.</w:t>
      </w:r>
    </w:p>
    <w:p>
      <w:pPr>
        <w:spacing w:after="60"/>
        <w:ind w:firstLine="567"/>
        <w:jc w:val="both"/>
      </w:pPr>
      <w:r>
        <w:rPr>
          <w:rFonts w:ascii="Arial" w:cs="Arial" w:eastAsia="Arial" w:hAnsi="Arial"/>
          <w:sz w:val="24"/>
          <w:szCs w:val="24"/>
        </w:rPr>
        <w:t xml:space="preserve">Основными задачами будут: (1) реабилитация автомобильных дорог, представляющих собой международные транспортные коридоры; (2) сохранение и улучшение внутренней сети автомобильных дорог; (3) обеспечение всех населенных пунктов республики автобусным маршрутным сообщением; (4) восстановление работы ГП "Иссык-Кульское пароходство".</w:t>
      </w:r>
    </w:p>
    <w:p>
      <w:pPr>
        <w:spacing w:after="60"/>
        <w:ind w:firstLine="567"/>
        <w:jc w:val="both"/>
      </w:pPr>
      <w:r>
        <w:rPr>
          <w:rFonts w:ascii="Arial" w:cs="Arial" w:eastAsia="Arial" w:hAnsi="Arial"/>
          <w:sz w:val="24"/>
          <w:szCs w:val="24"/>
        </w:rPr>
        <w:t xml:space="preserve">Политика мер в области развития туризма будет направлена на решение таких задач, как:</w:t>
      </w:r>
    </w:p>
    <w:p>
      <w:pPr>
        <w:spacing w:after="60"/>
        <w:ind w:firstLine="567"/>
        <w:jc w:val="both"/>
      </w:pPr>
      <w:r>
        <w:rPr>
          <w:rFonts w:ascii="Arial" w:cs="Arial" w:eastAsia="Arial" w:hAnsi="Arial"/>
          <w:sz w:val="24"/>
          <w:szCs w:val="24"/>
        </w:rPr>
        <w:t xml:space="preserve">- упорядочение туристских формальностей и повышение безопасности путешествий;</w:t>
      </w:r>
    </w:p>
    <w:p>
      <w:pPr>
        <w:spacing w:after="60"/>
        <w:ind w:firstLine="567"/>
        <w:jc w:val="both"/>
      </w:pPr>
      <w:r>
        <w:rPr>
          <w:rFonts w:ascii="Arial" w:cs="Arial" w:eastAsia="Arial" w:hAnsi="Arial"/>
          <w:sz w:val="24"/>
          <w:szCs w:val="24"/>
        </w:rPr>
        <w:t xml:space="preserve">- развитие туристской инфраструктуры, в том числе транспорта и коммуникаций;</w:t>
      </w:r>
    </w:p>
    <w:p>
      <w:pPr>
        <w:spacing w:after="60"/>
        <w:ind w:firstLine="567"/>
        <w:jc w:val="both"/>
      </w:pPr>
      <w:r>
        <w:rPr>
          <w:rFonts w:ascii="Arial" w:cs="Arial" w:eastAsia="Arial" w:hAnsi="Arial"/>
          <w:sz w:val="24"/>
          <w:szCs w:val="24"/>
        </w:rPr>
        <w:t xml:space="preserve">- создание условий для обучения персонала туристских предприятий;</w:t>
      </w:r>
    </w:p>
    <w:p>
      <w:pPr>
        <w:spacing w:after="60"/>
        <w:ind w:firstLine="567"/>
        <w:jc w:val="both"/>
      </w:pPr>
      <w:r>
        <w:rPr>
          <w:rFonts w:ascii="Arial" w:cs="Arial" w:eastAsia="Arial" w:hAnsi="Arial"/>
          <w:sz w:val="24"/>
          <w:szCs w:val="24"/>
        </w:rPr>
        <w:t xml:space="preserve">- обеспечение соблюдения экологических норм на туристских объектах и в регионах посещения;</w:t>
      </w:r>
    </w:p>
    <w:p>
      <w:pPr>
        <w:spacing w:after="60"/>
        <w:ind w:firstLine="567"/>
        <w:jc w:val="both"/>
      </w:pPr>
      <w:r>
        <w:rPr>
          <w:rFonts w:ascii="Arial" w:cs="Arial" w:eastAsia="Arial" w:hAnsi="Arial"/>
          <w:sz w:val="24"/>
          <w:szCs w:val="24"/>
        </w:rPr>
        <w:t xml:space="preserve">- продвижение национального туристского продукта на зарубежных рынках путем формирования благоприятного для туризма образа страны;</w:t>
      </w:r>
    </w:p>
    <w:p>
      <w:pPr>
        <w:spacing w:after="60"/>
        <w:ind w:firstLine="567"/>
        <w:jc w:val="both"/>
      </w:pPr>
      <w:r>
        <w:rPr>
          <w:rFonts w:ascii="Arial" w:cs="Arial" w:eastAsia="Arial" w:hAnsi="Arial"/>
          <w:sz w:val="24"/>
          <w:szCs w:val="24"/>
        </w:rPr>
        <w:t xml:space="preserve">- разработка и внедрение экономических и административных механизмов поддержки развития туризма;</w:t>
      </w:r>
    </w:p>
    <w:p>
      <w:pPr>
        <w:spacing w:after="60"/>
        <w:ind w:firstLine="567"/>
        <w:jc w:val="both"/>
      </w:pPr>
      <w:r>
        <w:rPr>
          <w:rFonts w:ascii="Arial" w:cs="Arial" w:eastAsia="Arial" w:hAnsi="Arial"/>
          <w:sz w:val="24"/>
          <w:szCs w:val="24"/>
        </w:rPr>
        <w:t xml:space="preserve">- усиление мер по охране окружающей среды, культурного и исторического наследия.</w:t>
      </w:r>
    </w:p>
    <w:p>
      <w:pPr>
        <w:spacing w:after="60"/>
        <w:ind w:firstLine="567"/>
        <w:jc w:val="both"/>
      </w:pPr>
      <w:r>
        <w:rPr>
          <w:rFonts w:ascii="Arial" w:cs="Arial" w:eastAsia="Arial" w:hAnsi="Arial"/>
          <w:sz w:val="24"/>
          <w:szCs w:val="24"/>
        </w:rPr>
        <w:t xml:space="preserve">Основными рисками, которые будут влиять на замедление темпов роста объемов сферы услуг, являются:</w:t>
      </w:r>
    </w:p>
    <w:p>
      <w:pPr>
        <w:spacing w:after="60"/>
        <w:ind w:firstLine="567"/>
        <w:jc w:val="both"/>
      </w:pPr>
      <w:r>
        <w:rPr>
          <w:rFonts w:ascii="Arial" w:cs="Arial" w:eastAsia="Arial" w:hAnsi="Arial"/>
          <w:sz w:val="24"/>
          <w:szCs w:val="24"/>
        </w:rPr>
        <w:t xml:space="preserve">- снижение объемов торговли за счет изменения условий (принятие единого таможенного тарифа (без изъятий), отмены упрощенного режима таможенного оформления, принятия технических регламентов ЕАЭС, более строгих правил подтверждения соответствия);</w:t>
      </w:r>
    </w:p>
    <w:p>
      <w:pPr>
        <w:spacing w:after="60"/>
        <w:ind w:firstLine="567"/>
        <w:jc w:val="both"/>
      </w:pPr>
      <w:r>
        <w:rPr>
          <w:rFonts w:ascii="Arial" w:cs="Arial" w:eastAsia="Arial" w:hAnsi="Arial"/>
          <w:sz w:val="24"/>
          <w:szCs w:val="24"/>
        </w:rPr>
        <w:t xml:space="preserve">- прекращение поставок некоторых товаров в Кыргызстан из-за роста таможенных пошлин, снижение товарооборота со странами, не входящими в ЕАЭС;</w:t>
      </w:r>
    </w:p>
    <w:p>
      <w:pPr>
        <w:spacing w:after="60"/>
        <w:ind w:firstLine="567"/>
        <w:jc w:val="both"/>
      </w:pPr>
      <w:r>
        <w:rPr>
          <w:rFonts w:ascii="Arial" w:cs="Arial" w:eastAsia="Arial" w:hAnsi="Arial"/>
          <w:sz w:val="24"/>
          <w:szCs w:val="24"/>
        </w:rPr>
        <w:t xml:space="preserve">- сокращение объема импорта/реэкспорта и на этой основе замедление торговли;</w:t>
      </w:r>
    </w:p>
    <w:p>
      <w:pPr>
        <w:spacing w:after="60"/>
        <w:ind w:firstLine="567"/>
        <w:jc w:val="both"/>
      </w:pPr>
      <w:r>
        <w:rPr>
          <w:rFonts w:ascii="Arial" w:cs="Arial" w:eastAsia="Arial" w:hAnsi="Arial"/>
          <w:sz w:val="24"/>
          <w:szCs w:val="24"/>
        </w:rPr>
        <w:t xml:space="preserve">- снижение показателей деятельности, связанных с реэкспортом товаров, и общее замедление экономической активности приведут к снижению спроса на транспортные услуги. Развитие услуг по оказанию транспортных перевозок замедлится;</w:t>
      </w:r>
    </w:p>
    <w:p>
      <w:pPr>
        <w:spacing w:after="60"/>
        <w:ind w:firstLine="567"/>
        <w:jc w:val="both"/>
      </w:pPr>
      <w:r>
        <w:rPr>
          <w:rFonts w:ascii="Arial" w:cs="Arial" w:eastAsia="Arial" w:hAnsi="Arial"/>
          <w:sz w:val="24"/>
          <w:szCs w:val="24"/>
        </w:rPr>
        <w:t xml:space="preserve">- возможный восходящий тренд уровня инфляции;</w:t>
      </w:r>
    </w:p>
    <w:p>
      <w:pPr>
        <w:spacing w:after="60"/>
        <w:ind w:firstLine="567"/>
        <w:jc w:val="both"/>
      </w:pPr>
      <w:r>
        <w:rPr>
          <w:rFonts w:ascii="Arial" w:cs="Arial" w:eastAsia="Arial" w:hAnsi="Arial"/>
          <w:sz w:val="24"/>
          <w:szCs w:val="24"/>
        </w:rPr>
        <w:t xml:space="preserve">- сокращение потребительского спроса;</w:t>
      </w:r>
    </w:p>
    <w:p>
      <w:pPr>
        <w:spacing w:after="60"/>
        <w:ind w:firstLine="567"/>
        <w:jc w:val="both"/>
      </w:pPr>
      <w:r>
        <w:rPr>
          <w:rFonts w:ascii="Arial" w:cs="Arial" w:eastAsia="Arial" w:hAnsi="Arial"/>
          <w:sz w:val="24"/>
          <w:szCs w:val="24"/>
        </w:rPr>
        <w:t xml:space="preserve">- волатильность обменного курса валют.</w:t>
      </w:r>
    </w:p>
    <w:p>
      <w:pPr>
        <w:spacing w:after="60" w:before="200"/>
        <w:ind w:firstLine="567"/>
        <w:jc w:val="left"/>
      </w:pPr>
      <w:r>
        <w:rPr>
          <w:rFonts w:ascii="Arial" w:cs="Arial" w:eastAsia="Arial" w:hAnsi="Arial"/>
          <w:b/>
          <w:bCs/>
          <w:sz w:val="24"/>
          <w:szCs w:val="24"/>
        </w:rPr>
        <w:t xml:space="preserve">Внешнеторговый оборот</w:t>
      </w:r>
    </w:p>
    <w:p>
      <w:pPr>
        <w:spacing w:after="60"/>
        <w:ind w:firstLine="567"/>
        <w:jc w:val="both"/>
      </w:pPr>
      <w:r>
        <w:rPr>
          <w:rFonts w:ascii="Arial" w:cs="Arial" w:eastAsia="Arial" w:hAnsi="Arial"/>
          <w:sz w:val="24"/>
          <w:szCs w:val="24"/>
        </w:rPr>
        <w:t xml:space="preserve">Основной целью развития внешнеторгового оборота является формирование конкурентоспособного экспортного потенциала для устойчивого экономического роста. Для достижения поставленной цели приоритетными направлениями являются: (1) развитие экспортного потенциала страны; (2) обеспечение гармонизации нормативных правовых актов Кыргызской Республики с документами ЕАЭС в сфере технического регулирования.</w:t>
      </w:r>
    </w:p>
    <w:p>
      <w:pPr>
        <w:spacing w:after="60"/>
        <w:ind w:firstLine="567"/>
        <w:jc w:val="both"/>
      </w:pPr>
      <w:r>
        <w:rPr>
          <w:rFonts w:ascii="Arial" w:cs="Arial" w:eastAsia="Arial" w:hAnsi="Arial"/>
          <w:sz w:val="24"/>
          <w:szCs w:val="24"/>
        </w:rPr>
        <w:t xml:space="preserve">В рамках реализации приоритетов предполагается принятие следующих мер:</w:t>
      </w:r>
    </w:p>
    <w:p>
      <w:pPr>
        <w:spacing w:after="60"/>
        <w:ind w:firstLine="567"/>
        <w:jc w:val="both"/>
      </w:pPr>
      <w:r>
        <w:rPr>
          <w:rFonts w:ascii="Arial" w:cs="Arial" w:eastAsia="Arial" w:hAnsi="Arial"/>
          <w:sz w:val="24"/>
          <w:szCs w:val="24"/>
        </w:rPr>
        <w:t xml:space="preserve">- реализация Плана Правительства Кыргызской Республики по развитию экспорта Кыргызской Республики на 2015-2017 годы (постановление Правительства Кыргызской Республики от 31 марта 2015 года № 174;</w:t>
      </w:r>
    </w:p>
    <w:p>
      <w:pPr>
        <w:spacing w:after="60"/>
        <w:ind w:firstLine="567"/>
        <w:jc w:val="both"/>
      </w:pPr>
      <w:r>
        <w:rPr>
          <w:rFonts w:ascii="Arial" w:cs="Arial" w:eastAsia="Arial" w:hAnsi="Arial"/>
          <w:sz w:val="24"/>
          <w:szCs w:val="24"/>
        </w:rPr>
        <w:t xml:space="preserve">- расширение функций государственного предприятия "Центр "единого окна" в сфере внешней торговли" по развитию и продвижению экспорта;</w:t>
      </w:r>
    </w:p>
    <w:p>
      <w:pPr>
        <w:spacing w:after="60"/>
        <w:ind w:firstLine="567"/>
        <w:jc w:val="both"/>
      </w:pPr>
      <w:r>
        <w:rPr>
          <w:rFonts w:ascii="Arial" w:cs="Arial" w:eastAsia="Arial" w:hAnsi="Arial"/>
          <w:sz w:val="24"/>
          <w:szCs w:val="24"/>
        </w:rPr>
        <w:t xml:space="preserve">- проведение переговоров с международными организациями по вопросам применения международных стандартов и основными торгово-экономическими партнерами по применению международных и региональных стандартов в качестве кыргызских национальных стандартов;</w:t>
      </w:r>
    </w:p>
    <w:p>
      <w:pPr>
        <w:spacing w:after="60"/>
        <w:ind w:firstLine="567"/>
        <w:jc w:val="both"/>
      </w:pPr>
      <w:r>
        <w:rPr>
          <w:rFonts w:ascii="Arial" w:cs="Arial" w:eastAsia="Arial" w:hAnsi="Arial"/>
          <w:sz w:val="24"/>
          <w:szCs w:val="24"/>
        </w:rPr>
        <w:t xml:space="preserve">- гармонизация национальных стандартов с международными нормами и правилами;</w:t>
      </w:r>
    </w:p>
    <w:p>
      <w:pPr>
        <w:spacing w:after="60"/>
        <w:ind w:firstLine="567"/>
        <w:jc w:val="both"/>
      </w:pPr>
      <w:r>
        <w:rPr>
          <w:rFonts w:ascii="Arial" w:cs="Arial" w:eastAsia="Arial" w:hAnsi="Arial"/>
          <w:sz w:val="24"/>
          <w:szCs w:val="24"/>
        </w:rPr>
        <w:t xml:space="preserve">- заключение соглашений с основными торгово-экономическими партнерами о взаимном признании результатов оценки соответствия стандартов;</w:t>
      </w:r>
    </w:p>
    <w:p>
      <w:pPr>
        <w:spacing w:after="60"/>
        <w:ind w:firstLine="567"/>
        <w:jc w:val="both"/>
      </w:pPr>
      <w:r>
        <w:rPr>
          <w:rFonts w:ascii="Arial" w:cs="Arial" w:eastAsia="Arial" w:hAnsi="Arial"/>
          <w:sz w:val="24"/>
          <w:szCs w:val="24"/>
        </w:rPr>
        <w:t xml:space="preserve">- переоснащение лабораторно-испытательной и эталонной баз, с привлечением средств донорских организаций;</w:t>
      </w:r>
    </w:p>
    <w:p>
      <w:pPr>
        <w:spacing w:after="60"/>
        <w:ind w:firstLine="567"/>
        <w:jc w:val="both"/>
      </w:pPr>
      <w:r>
        <w:rPr>
          <w:rFonts w:ascii="Arial" w:cs="Arial" w:eastAsia="Arial" w:hAnsi="Arial"/>
          <w:sz w:val="24"/>
          <w:szCs w:val="24"/>
        </w:rPr>
        <w:t xml:space="preserve">- внесение изменений и дополнений в законодательство, в части стимулирования хозяйствующих субъектов, внедряющих менеджмент качества и безопасности продуктов;</w:t>
      </w:r>
    </w:p>
    <w:p>
      <w:pPr>
        <w:spacing w:after="60"/>
        <w:ind w:firstLine="567"/>
        <w:jc w:val="both"/>
      </w:pPr>
      <w:r>
        <w:rPr>
          <w:rFonts w:ascii="Arial" w:cs="Arial" w:eastAsia="Arial" w:hAnsi="Arial"/>
          <w:sz w:val="24"/>
          <w:szCs w:val="24"/>
        </w:rPr>
        <w:t xml:space="preserve">- проведение консультационно-информационных мероприятий для частного сектора по вопросам доступа товаров на рынки стран ЕАЭС.</w:t>
      </w:r>
    </w:p>
    <w:p>
      <w:pPr>
        <w:spacing w:after="60"/>
        <w:ind w:firstLine="567"/>
        <w:jc w:val="both"/>
      </w:pPr>
      <w:r>
        <w:rPr>
          <w:rFonts w:ascii="Arial" w:cs="Arial" w:eastAsia="Arial" w:hAnsi="Arial"/>
          <w:sz w:val="24"/>
          <w:szCs w:val="24"/>
        </w:rPr>
        <w:t xml:space="preserve">Основными влияющими факторами на развитие внешнеэкономической деятельности в 2017-2019 годы будут: (а) преимущества членства республики в ВТО; (б) полное функционирование в интеграционном объединении ЕАЭС; (в) двустороннее сотрудничество на взаимовыгодной основе; (г) возрастающее значение будет иметь экспорт услуг, в том числе туристических.</w:t>
      </w:r>
    </w:p>
    <w:p>
      <w:pPr>
        <w:spacing w:after="60"/>
        <w:ind w:firstLine="567"/>
        <w:jc w:val="both"/>
      </w:pPr>
      <w:r>
        <w:rPr>
          <w:rFonts w:ascii="Arial" w:cs="Arial" w:eastAsia="Arial" w:hAnsi="Arial"/>
          <w:sz w:val="24"/>
          <w:szCs w:val="24"/>
        </w:rPr>
        <w:t xml:space="preserve">Прогнозируется, что номинальный объем внешнеторгового оборота с учетом всех этих факторов достигнет в 2019 году 6500,0 млрд. долл. США и возрастет относительно 2017 года на 5,7%. Отрицательное сальдо торгового баланса за этот период увеличится с (-)2250,0 млн. долл. США в 2017 году до (-)2300,0 млн. долл. США - в 2019 году. Номинальный объем экспорта товаров за 2017-2019 годы в среднем составит 2016,7 млн. долл. США, а импорта - 4300,0 млн. долл. США. Как и прежде, основной статьей экспорта будет золото, которое занимает в структуре экспорта 39,7%. Рост экспорта золота будет обеспечен вводом в строй новых месторождений золота.</w:t>
      </w:r>
    </w:p>
    <w:p>
      <w:pPr>
        <w:spacing w:after="60"/>
        <w:ind w:firstLine="567"/>
        <w:jc w:val="both"/>
      </w:pPr>
      <w:r>
        <w:rPr>
          <w:rFonts w:ascii="Arial" w:cs="Arial" w:eastAsia="Arial" w:hAnsi="Arial"/>
          <w:sz w:val="24"/>
          <w:szCs w:val="24"/>
        </w:rPr>
        <w:t xml:space="preserve">Рост импорта будет традиционно связан с возрастающими поставками нефтепродуктов, инвестиционных и промежуточных товаров. Импорт инвестиционных товаров в условиях прогнозируемого улучшения бизнес - среды будет увеличиваться на 2,8% в среднем за год.</w:t>
      </w:r>
    </w:p>
    <w:p>
      <w:pPr>
        <w:spacing w:after="60"/>
        <w:ind w:firstLine="567"/>
        <w:jc w:val="both"/>
      </w:pPr>
      <w:r>
        <w:rPr>
          <w:rFonts w:ascii="Arial" w:cs="Arial" w:eastAsia="Arial" w:hAnsi="Arial"/>
          <w:sz w:val="24"/>
          <w:szCs w:val="24"/>
        </w:rPr>
        <w:t xml:space="preserve">Основными рисками могут быть:</w:t>
      </w:r>
    </w:p>
    <w:p>
      <w:pPr>
        <w:spacing w:after="60"/>
        <w:ind w:firstLine="567"/>
        <w:jc w:val="both"/>
      </w:pPr>
      <w:r>
        <w:rPr>
          <w:rFonts w:ascii="Arial" w:cs="Arial" w:eastAsia="Arial" w:hAnsi="Arial"/>
          <w:sz w:val="24"/>
          <w:szCs w:val="24"/>
        </w:rPr>
        <w:t xml:space="preserve">- снижение объемов экспорта за счет снижения реэкспорта потребительских и других товаров, а также удорожания импортного сырья и комплектующих, что может повлечь рост дефицита торгового баланса;</w:t>
      </w:r>
    </w:p>
    <w:p>
      <w:pPr>
        <w:spacing w:after="60"/>
        <w:ind w:firstLine="567"/>
        <w:jc w:val="both"/>
      </w:pPr>
      <w:r>
        <w:rPr>
          <w:rFonts w:ascii="Arial" w:cs="Arial" w:eastAsia="Arial" w:hAnsi="Arial"/>
          <w:sz w:val="24"/>
          <w:szCs w:val="24"/>
        </w:rPr>
        <w:t xml:space="preserve">- повышение цен на сырье и комплектующие материалы, а в силу высокой степени зависимости от их импорта, есть вероятность того, что отечественные товаропроизводители могут понести ущерб и, возможно, потеряют свою конкурентоспособность, особенно предприятия швейной и текстильной, строительной отраслей;</w:t>
      </w:r>
    </w:p>
    <w:p>
      <w:pPr>
        <w:spacing w:after="60"/>
        <w:ind w:firstLine="567"/>
        <w:jc w:val="both"/>
      </w:pPr>
      <w:r>
        <w:rPr>
          <w:rFonts w:ascii="Arial" w:cs="Arial" w:eastAsia="Arial" w:hAnsi="Arial"/>
          <w:sz w:val="24"/>
          <w:szCs w:val="24"/>
        </w:rPr>
        <w:t xml:space="preserve">- снижение объемов производства в экспортно-ориентированных отраслях экономики.</w:t>
      </w:r>
    </w:p>
    <w:p>
      <w:pPr>
        <w:spacing w:after="60"/>
        <w:ind w:firstLine="567"/>
        <w:jc w:val="both"/>
      </w:pPr>
      <w:r>
        <w:rPr>
          <w:rFonts w:ascii="Arial" w:cs="Arial" w:eastAsia="Arial" w:hAnsi="Arial"/>
          <w:sz w:val="24"/>
          <w:szCs w:val="24"/>
        </w:rPr>
        <w:t xml:space="preserve">Сальдо чистого экспорта товаров и услуг уменьшится с 48,4% к ВВП в 2017 году до 46,2% к ВВП - в 2019 году.</w:t>
      </w:r>
    </w:p>
    <w:p>
      <w:pPr>
        <w:spacing w:after="120" w:before="200"/>
        <w:ind w:firstLine="567"/>
        <w:jc w:val="left"/>
      </w:pPr>
      <w:r>
        <w:rPr>
          <w:rFonts w:ascii="Arial" w:cs="Arial" w:eastAsia="Arial" w:hAnsi="Arial"/>
          <w:b/>
          <w:bCs/>
          <w:sz w:val="24"/>
          <w:szCs w:val="24"/>
        </w:rPr>
        <w:t xml:space="preserve">Таблица 20. Использование ВВП в 2017-2019 годах, в % к ВВП</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985"/>
        <w:gridCol w:w="1398"/>
        <w:gridCol w:w="1398"/>
        <w:gridCol w:w="1396"/>
      </w:tblGrid>
      <w:tr>
        <w:tc>
          <w:tcPr>
            <w:tcW w:type="dxa" w:w="5985"/>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Показатели</w:t>
            </w:r>
          </w:p>
        </w:tc>
        <w:tc>
          <w:tcPr>
            <w:tcW w:type="dxa" w:w="139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w:t>
            </w:r>
          </w:p>
        </w:tc>
        <w:tc>
          <w:tcPr>
            <w:tcW w:type="dxa" w:w="139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w:t>
            </w:r>
          </w:p>
        </w:tc>
        <w:tc>
          <w:tcPr>
            <w:tcW w:type="dxa" w:w="139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w:t>
            </w:r>
          </w:p>
        </w:tc>
      </w:tr>
      <w:tr>
        <w:tc>
          <w:tcPr>
            <w:vMerge w:val="continue"/>
            <w:tcBorders>
              <w:top w:val="single" w:color="CBBF9E" w:sz="4"/>
              <w:left w:val="single" w:color="CBBF9E" w:sz="4"/>
              <w:bottom w:val="single" w:color="CBBF9E" w:sz="4"/>
              <w:right w:val="single" w:color="CBBF9E" w:sz="4"/>
            </w:tcBorders>
          </w:tcPr>
          <w:p/>
        </w:tc>
        <w:tc>
          <w:tcPr>
            <w:tcW w:type="dxa" w:w="139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139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13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r>
      <w:tr>
        <w:tc>
          <w:tcPr>
            <w:tcW w:type="dxa" w:w="5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Потребление</w:t>
            </w:r>
          </w:p>
        </w:tc>
        <w:tc>
          <w:tcPr>
            <w:tcW w:type="dxa" w:w="13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111,0</w:t>
            </w:r>
          </w:p>
        </w:tc>
        <w:tc>
          <w:tcPr>
            <w:tcW w:type="dxa" w:w="13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110,4</w:t>
            </w:r>
          </w:p>
        </w:tc>
        <w:tc>
          <w:tcPr>
            <w:tcW w:type="dxa" w:w="13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108,3</w:t>
            </w:r>
          </w:p>
        </w:tc>
      </w:tr>
      <w:tr>
        <w:tc>
          <w:tcPr>
            <w:tcW w:type="dxa" w:w="5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Государственное</w:t>
            </w:r>
          </w:p>
        </w:tc>
        <w:tc>
          <w:tcPr>
            <w:tcW w:type="dxa" w:w="13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16,4</w:t>
            </w:r>
          </w:p>
        </w:tc>
        <w:tc>
          <w:tcPr>
            <w:tcW w:type="dxa" w:w="13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15,8</w:t>
            </w:r>
          </w:p>
        </w:tc>
        <w:tc>
          <w:tcPr>
            <w:tcW w:type="dxa" w:w="13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15,1</w:t>
            </w:r>
          </w:p>
        </w:tc>
      </w:tr>
      <w:tr>
        <w:tc>
          <w:tcPr>
            <w:tcW w:type="dxa" w:w="5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Частное</w:t>
            </w:r>
          </w:p>
        </w:tc>
        <w:tc>
          <w:tcPr>
            <w:tcW w:type="dxa" w:w="13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94,6</w:t>
            </w:r>
          </w:p>
        </w:tc>
        <w:tc>
          <w:tcPr>
            <w:tcW w:type="dxa" w:w="13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94,6</w:t>
            </w:r>
          </w:p>
        </w:tc>
        <w:tc>
          <w:tcPr>
            <w:tcW w:type="dxa" w:w="13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93,3</w:t>
            </w:r>
          </w:p>
        </w:tc>
      </w:tr>
      <w:tr>
        <w:tc>
          <w:tcPr>
            <w:tcW w:type="dxa" w:w="5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Валовые инвестиции</w:t>
            </w:r>
          </w:p>
        </w:tc>
        <w:tc>
          <w:tcPr>
            <w:tcW w:type="dxa" w:w="13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37,4</w:t>
            </w:r>
          </w:p>
        </w:tc>
        <w:tc>
          <w:tcPr>
            <w:tcW w:type="dxa" w:w="13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37,7</w:t>
            </w:r>
          </w:p>
        </w:tc>
        <w:tc>
          <w:tcPr>
            <w:tcW w:type="dxa" w:w="13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37,9</w:t>
            </w:r>
          </w:p>
        </w:tc>
      </w:tr>
      <w:tr>
        <w:tc>
          <w:tcPr>
            <w:tcW w:type="dxa" w:w="5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Государственные инвестиции</w:t>
            </w:r>
          </w:p>
        </w:tc>
        <w:tc>
          <w:tcPr>
            <w:tcW w:type="dxa" w:w="13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w:t>
            </w:r>
          </w:p>
        </w:tc>
        <w:tc>
          <w:tcPr>
            <w:tcW w:type="dxa" w:w="13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13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w:t>
            </w:r>
          </w:p>
        </w:tc>
      </w:tr>
      <w:tr>
        <w:tc>
          <w:tcPr>
            <w:tcW w:type="dxa" w:w="5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них ПГИ (внешние)</w:t>
            </w:r>
          </w:p>
        </w:tc>
        <w:tc>
          <w:tcPr>
            <w:tcW w:type="dxa" w:w="13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w:t>
            </w:r>
          </w:p>
        </w:tc>
        <w:tc>
          <w:tcPr>
            <w:tcW w:type="dxa" w:w="13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w:t>
            </w:r>
          </w:p>
        </w:tc>
        <w:tc>
          <w:tcPr>
            <w:tcW w:type="dxa" w:w="13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r>
      <w:tr>
        <w:tc>
          <w:tcPr>
            <w:tcW w:type="dxa" w:w="5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Частные инвестиции</w:t>
            </w:r>
          </w:p>
        </w:tc>
        <w:tc>
          <w:tcPr>
            <w:tcW w:type="dxa" w:w="13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29,3</w:t>
            </w:r>
          </w:p>
        </w:tc>
        <w:tc>
          <w:tcPr>
            <w:tcW w:type="dxa" w:w="13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30,7</w:t>
            </w:r>
          </w:p>
        </w:tc>
        <w:tc>
          <w:tcPr>
            <w:tcW w:type="dxa" w:w="13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31,1</w:t>
            </w:r>
          </w:p>
        </w:tc>
      </w:tr>
      <w:tr>
        <w:tc>
          <w:tcPr>
            <w:tcW w:type="dxa" w:w="5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Экспорт (товары и нефакторные услуги)</w:t>
            </w:r>
          </w:p>
        </w:tc>
        <w:tc>
          <w:tcPr>
            <w:tcW w:type="dxa" w:w="13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33,5</w:t>
            </w:r>
          </w:p>
        </w:tc>
        <w:tc>
          <w:tcPr>
            <w:tcW w:type="dxa" w:w="13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33,1</w:t>
            </w:r>
          </w:p>
        </w:tc>
        <w:tc>
          <w:tcPr>
            <w:tcW w:type="dxa" w:w="13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32,7</w:t>
            </w:r>
          </w:p>
        </w:tc>
      </w:tr>
      <w:tr>
        <w:tc>
          <w:tcPr>
            <w:tcW w:type="dxa" w:w="5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Импорт (товары и нефакторные услуги)</w:t>
            </w:r>
          </w:p>
        </w:tc>
        <w:tc>
          <w:tcPr>
            <w:tcW w:type="dxa" w:w="13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81,9</w:t>
            </w:r>
          </w:p>
        </w:tc>
        <w:tc>
          <w:tcPr>
            <w:tcW w:type="dxa" w:w="13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81,3</w:t>
            </w:r>
          </w:p>
        </w:tc>
        <w:tc>
          <w:tcPr>
            <w:tcW w:type="dxa" w:w="13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78,9</w:t>
            </w:r>
          </w:p>
        </w:tc>
      </w:tr>
      <w:tr>
        <w:tc>
          <w:tcPr>
            <w:tcW w:type="dxa" w:w="59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Чистый экспорт товаров и услуг</w:t>
            </w:r>
          </w:p>
        </w:tc>
        <w:tc>
          <w:tcPr>
            <w:tcW w:type="dxa" w:w="13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-48,4</w:t>
            </w:r>
          </w:p>
        </w:tc>
        <w:tc>
          <w:tcPr>
            <w:tcW w:type="dxa" w:w="13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-48,2</w:t>
            </w:r>
          </w:p>
        </w:tc>
        <w:tc>
          <w:tcPr>
            <w:tcW w:type="dxa" w:w="13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-46,2</w:t>
            </w:r>
          </w:p>
        </w:tc>
      </w:tr>
    </w:tbl>
    <w:p>
      <w:pPr>
        <w:spacing w:after="60" w:before="200"/>
        <w:ind w:firstLine="567"/>
        <w:jc w:val="left"/>
      </w:pPr>
      <w:r>
        <w:rPr>
          <w:rFonts w:ascii="Arial" w:cs="Arial" w:eastAsia="Arial" w:hAnsi="Arial"/>
          <w:b/>
          <w:bCs/>
          <w:sz w:val="24"/>
          <w:szCs w:val="24"/>
        </w:rPr>
        <w:t xml:space="preserve">Социальная сфера</w:t>
      </w:r>
    </w:p>
    <w:p>
      <w:pPr>
        <w:spacing w:after="60"/>
        <w:ind w:firstLine="567"/>
        <w:jc w:val="both"/>
      </w:pPr>
      <w:r>
        <w:rPr>
          <w:rFonts w:ascii="Arial" w:cs="Arial" w:eastAsia="Arial" w:hAnsi="Arial"/>
          <w:sz w:val="24"/>
          <w:szCs w:val="24"/>
        </w:rPr>
        <w:t xml:space="preserve">Политика социального развития в 2017-2019 годах, как и прежде, будет направлена, в первую очередь, на выполнение в полном объеме гарантированных социальных обязательств государства, на повышение уровня жизни населения и улучшение положения социально незащищенных категорий граждан, с учетом реальных возможностей государства.</w:t>
      </w:r>
    </w:p>
    <w:p>
      <w:pPr>
        <w:spacing w:after="60"/>
        <w:ind w:firstLine="567"/>
        <w:jc w:val="both"/>
      </w:pPr>
      <w:r>
        <w:rPr>
          <w:rFonts w:ascii="Arial" w:cs="Arial" w:eastAsia="Arial" w:hAnsi="Arial"/>
          <w:sz w:val="24"/>
          <w:szCs w:val="24"/>
        </w:rPr>
        <w:t xml:space="preserve">Основные приоритетные направления деятельности определены в Программе развития социальной защиты населения Кыргызской Республики на 2015-2017 годы, утвержденной постановлением Правительства Кыргызской Республики от 27 февраля 2015 года № 85 (далее - Программа на 2015-2017 годы) и Программе содействия занятости населения и регулирования внутренней и внешней трудовой миграции до 2020 года, утвержденной постановлением Правительства Кыргызской Республики от 6 сентября 2013 года № 485 (далее - Программа до 2020 года).</w:t>
      </w:r>
    </w:p>
    <w:p>
      <w:pPr>
        <w:spacing w:after="60"/>
        <w:ind w:firstLine="567"/>
        <w:jc w:val="both"/>
      </w:pPr>
      <w:r>
        <w:rPr>
          <w:rFonts w:ascii="Arial" w:cs="Arial" w:eastAsia="Arial" w:hAnsi="Arial"/>
          <w:sz w:val="24"/>
          <w:szCs w:val="24"/>
        </w:rPr>
        <w:t xml:space="preserve">Основной целью Программы на 2015-2017 годы является обеспечение качественными услугами и создание равных возможностей для социально незащищенных категорий граждан. Указанная программа также нацелена на оказание адресной социальной помощи наиболее уязвимым категориям граждан, стимулирование экономической активности трудоспособного населения и оказание содействия в выходе из трудной жизненной ситуации.</w:t>
      </w:r>
    </w:p>
    <w:p>
      <w:pPr>
        <w:spacing w:after="60"/>
        <w:ind w:firstLine="567"/>
        <w:jc w:val="both"/>
      </w:pPr>
      <w:r>
        <w:rPr>
          <w:rFonts w:ascii="Arial" w:cs="Arial" w:eastAsia="Arial" w:hAnsi="Arial"/>
          <w:sz w:val="24"/>
          <w:szCs w:val="24"/>
        </w:rPr>
        <w:t xml:space="preserve">Основной целью Программы до 2020 года является создание условий для продуктивной занятости населения, снижение безработицы и дисбаланса спроса и предложения на рынке труда путем активизации мер содействия занятости населения, с учетом более полного и рационального использования трудовых ресурсов, защиты прав граждан Кыргызстана, осуществляющих трудовую деятельность за рубежом.</w:t>
      </w:r>
    </w:p>
    <w:p>
      <w:pPr>
        <w:spacing w:after="60"/>
        <w:ind w:firstLine="567"/>
        <w:jc w:val="both"/>
      </w:pPr>
      <w:r>
        <w:rPr>
          <w:rFonts w:ascii="Arial" w:cs="Arial" w:eastAsia="Arial" w:hAnsi="Arial"/>
          <w:sz w:val="24"/>
          <w:szCs w:val="24"/>
        </w:rPr>
        <w:t xml:space="preserve">Данная цель будет достигнута в результате реализации конкретных задач по основным направлениям:</w:t>
      </w:r>
    </w:p>
    <w:p>
      <w:pPr>
        <w:spacing w:after="60"/>
        <w:ind w:firstLine="567"/>
        <w:jc w:val="both"/>
      </w:pPr>
      <w:r>
        <w:rPr>
          <w:rFonts w:ascii="Arial" w:cs="Arial" w:eastAsia="Arial" w:hAnsi="Arial"/>
          <w:sz w:val="24"/>
          <w:szCs w:val="24"/>
        </w:rPr>
        <w:t xml:space="preserve">- разработка и принятие нормативных правовых актов, направленных на содействие занятости и регулирование внутренней и внешней трудовой миграции;</w:t>
      </w:r>
    </w:p>
    <w:p>
      <w:pPr>
        <w:spacing w:after="60"/>
        <w:ind w:firstLine="567"/>
        <w:jc w:val="both"/>
      </w:pPr>
      <w:r>
        <w:rPr>
          <w:rFonts w:ascii="Arial" w:cs="Arial" w:eastAsia="Arial" w:hAnsi="Arial"/>
          <w:sz w:val="24"/>
          <w:szCs w:val="24"/>
        </w:rPr>
        <w:t xml:space="preserve">- создание условий для содействия занятости населения в государственных и негосударственных секторах экономики, включая: разработку и реализацию программ социально-экономического развития регионов в целях сокращения уровня безработицы; реализацию положений Генерального соглашения между Правительством Кыргызской Республики, Федерацией профсоюзов Кыргызстана и республиканскими объединениями работодателей на 2016-2018 годы;</w:t>
      </w:r>
    </w:p>
    <w:p>
      <w:pPr>
        <w:spacing w:after="60"/>
        <w:ind w:firstLine="567"/>
        <w:jc w:val="both"/>
      </w:pPr>
      <w:r>
        <w:rPr>
          <w:rFonts w:ascii="Arial" w:cs="Arial" w:eastAsia="Arial" w:hAnsi="Arial"/>
          <w:sz w:val="24"/>
          <w:szCs w:val="24"/>
        </w:rPr>
        <w:t xml:space="preserve">- усиление активных мер содействия занятости на рынке труда;</w:t>
      </w:r>
    </w:p>
    <w:p>
      <w:pPr>
        <w:spacing w:after="60"/>
        <w:ind w:firstLine="567"/>
        <w:jc w:val="both"/>
      </w:pPr>
      <w:r>
        <w:rPr>
          <w:rFonts w:ascii="Arial" w:cs="Arial" w:eastAsia="Arial" w:hAnsi="Arial"/>
          <w:sz w:val="24"/>
          <w:szCs w:val="24"/>
        </w:rPr>
        <w:t xml:space="preserve">- совершенствование системы анализа и прогноза рынка труда и т.д.</w:t>
      </w:r>
    </w:p>
    <w:p>
      <w:pPr>
        <w:spacing w:after="60"/>
        <w:ind w:firstLine="567"/>
        <w:jc w:val="both"/>
      </w:pPr>
      <w:r>
        <w:rPr>
          <w:rFonts w:ascii="Arial" w:cs="Arial" w:eastAsia="Arial" w:hAnsi="Arial"/>
          <w:sz w:val="24"/>
          <w:szCs w:val="24"/>
        </w:rPr>
        <w:t xml:space="preserve">В рамках проведения миграционной политики основные усилия будут направлены на:</w:t>
      </w:r>
    </w:p>
    <w:p>
      <w:pPr>
        <w:spacing w:after="60"/>
        <w:ind w:firstLine="567"/>
        <w:jc w:val="both"/>
      </w:pPr>
      <w:r>
        <w:rPr>
          <w:rFonts w:ascii="Arial" w:cs="Arial" w:eastAsia="Arial" w:hAnsi="Arial"/>
          <w:sz w:val="24"/>
          <w:szCs w:val="24"/>
        </w:rPr>
        <w:t xml:space="preserve">- обеспечение полноценной системы по защите прав и интересов граждан Кыргызской Республики, осуществляющих трудовую деятельность за рубежом;</w:t>
      </w:r>
    </w:p>
    <w:p>
      <w:pPr>
        <w:spacing w:after="60"/>
        <w:ind w:firstLine="567"/>
        <w:jc w:val="both"/>
      </w:pPr>
      <w:r>
        <w:rPr>
          <w:rFonts w:ascii="Arial" w:cs="Arial" w:eastAsia="Arial" w:hAnsi="Arial"/>
          <w:sz w:val="24"/>
          <w:szCs w:val="24"/>
        </w:rPr>
        <w:t xml:space="preserve">- формирование и развитие эффективной системы государственного регулирования трудовой миграции путем совершенствования законодательства, информационно-образовательного обеспечения, предоставления услуг гражданам Кыргызской Республики, желающим осуществлять трудовую деятельность за рубежом;</w:t>
      </w:r>
    </w:p>
    <w:p>
      <w:pPr>
        <w:spacing w:after="60"/>
        <w:ind w:firstLine="567"/>
        <w:jc w:val="both"/>
      </w:pPr>
      <w:r>
        <w:rPr>
          <w:rFonts w:ascii="Arial" w:cs="Arial" w:eastAsia="Arial" w:hAnsi="Arial"/>
          <w:sz w:val="24"/>
          <w:szCs w:val="24"/>
        </w:rPr>
        <w:t xml:space="preserve">- развитие форм и методов регулирования трудовой миграции, основанных на развитии двусторонних и многосторонних межгосударственных отношений;</w:t>
      </w:r>
    </w:p>
    <w:p>
      <w:pPr>
        <w:spacing w:after="60"/>
        <w:ind w:firstLine="567"/>
        <w:jc w:val="both"/>
      </w:pPr>
      <w:r>
        <w:rPr>
          <w:rFonts w:ascii="Arial" w:cs="Arial" w:eastAsia="Arial" w:hAnsi="Arial"/>
          <w:sz w:val="24"/>
          <w:szCs w:val="24"/>
        </w:rPr>
        <w:t xml:space="preserve">- упрощение выдачи разрешений на привлечение иностранной высококвалифицированной рабочей силы и обеспечение прозрачности рассмотрения выдачи разрешения.</w:t>
      </w:r>
    </w:p>
    <w:p>
      <w:pPr>
        <w:spacing w:after="60"/>
        <w:ind w:firstLine="567"/>
        <w:jc w:val="both"/>
      </w:pPr>
      <w:r>
        <w:rPr>
          <w:rFonts w:ascii="Arial" w:cs="Arial" w:eastAsia="Arial" w:hAnsi="Arial"/>
          <w:sz w:val="24"/>
          <w:szCs w:val="24"/>
        </w:rPr>
        <w:t xml:space="preserve">На 2017-2019 годы выбирается модель смешанной пенсионной системы (распределительная и накопительная составляющие) при усилении страхового принципа.</w:t>
      </w:r>
    </w:p>
    <w:p>
      <w:pPr>
        <w:spacing w:after="60"/>
        <w:ind w:firstLine="567"/>
        <w:jc w:val="both"/>
      </w:pPr>
      <w:r>
        <w:rPr>
          <w:rFonts w:ascii="Arial" w:cs="Arial" w:eastAsia="Arial" w:hAnsi="Arial"/>
          <w:sz w:val="24"/>
          <w:szCs w:val="24"/>
        </w:rPr>
        <w:t xml:space="preserve">Концепцией развития системы пенсионного обеспечения Кыргызской Республики (постановление Правительства Кыргызской Республики от 24 ноября 2014 года № 670) определены перспективные направления дальнейших этапов реформирования основных параметров действующей пенсионной системы Кыргызской Республики в целях повышения ее справедливости и эффективности. Основной целью развития системы пенсионного обеспечения Кыргызской Республики является поддержание уровня жизни пенсионеров, компенсация части утраченного ими заработка путем формирования финансово-устойчивой страховой пенсионной системы, содержащей для работодателя и работника механизмы заинтересованности и ответственности за пенсионное обеспечение.</w:t>
      </w:r>
    </w:p>
    <w:p>
      <w:pPr>
        <w:spacing w:after="60"/>
        <w:ind w:firstLine="567"/>
        <w:jc w:val="both"/>
      </w:pPr>
      <w:r>
        <w:rPr>
          <w:rFonts w:ascii="Arial" w:cs="Arial" w:eastAsia="Arial" w:hAnsi="Arial"/>
          <w:sz w:val="24"/>
          <w:szCs w:val="24"/>
        </w:rPr>
        <w:t xml:space="preserve">Для достижения поставленных целей в среднесрочной перспективе предусматривается решение следующих задач:</w:t>
      </w:r>
    </w:p>
    <w:p>
      <w:pPr>
        <w:spacing w:after="60"/>
        <w:ind w:firstLine="567"/>
        <w:jc w:val="both"/>
      </w:pPr>
      <w:r>
        <w:rPr>
          <w:rFonts w:ascii="Arial" w:cs="Arial" w:eastAsia="Arial" w:hAnsi="Arial"/>
          <w:sz w:val="24"/>
          <w:szCs w:val="24"/>
        </w:rPr>
        <w:t xml:space="preserve">- совершенствование системы государственного пенсионного страхования;</w:t>
      </w:r>
    </w:p>
    <w:p>
      <w:pPr>
        <w:spacing w:after="60"/>
        <w:ind w:firstLine="567"/>
        <w:jc w:val="both"/>
      </w:pPr>
      <w:r>
        <w:rPr>
          <w:rFonts w:ascii="Arial" w:cs="Arial" w:eastAsia="Arial" w:hAnsi="Arial"/>
          <w:sz w:val="24"/>
          <w:szCs w:val="24"/>
        </w:rPr>
        <w:t xml:space="preserve">- развитие инфраструктуры системы пенсионного страхования;</w:t>
      </w:r>
    </w:p>
    <w:p>
      <w:pPr>
        <w:spacing w:after="60"/>
        <w:ind w:firstLine="567"/>
        <w:jc w:val="both"/>
      </w:pPr>
      <w:r>
        <w:rPr>
          <w:rFonts w:ascii="Arial" w:cs="Arial" w:eastAsia="Arial" w:hAnsi="Arial"/>
          <w:sz w:val="24"/>
          <w:szCs w:val="24"/>
        </w:rPr>
        <w:t xml:space="preserve">- повышение надежности негосударственного пенсионного страхования.</w:t>
      </w:r>
    </w:p>
    <w:p>
      <w:pPr>
        <w:spacing w:after="60"/>
        <w:ind w:firstLine="567"/>
        <w:jc w:val="both"/>
      </w:pPr>
      <w:r>
        <w:rPr>
          <w:rFonts w:ascii="Arial" w:cs="Arial" w:eastAsia="Arial" w:hAnsi="Arial"/>
          <w:sz w:val="24"/>
          <w:szCs w:val="24"/>
        </w:rPr>
        <w:t xml:space="preserve">Основные мероприятия по реализации перечисленных задач будут сосредоточены на разработке нормативной правовой базы, предусматривающей:</w:t>
      </w:r>
    </w:p>
    <w:p>
      <w:pPr>
        <w:spacing w:after="60"/>
        <w:ind w:firstLine="567"/>
        <w:jc w:val="both"/>
      </w:pPr>
      <w:r>
        <w:rPr>
          <w:rFonts w:ascii="Arial" w:cs="Arial" w:eastAsia="Arial" w:hAnsi="Arial"/>
          <w:sz w:val="24"/>
          <w:szCs w:val="24"/>
        </w:rPr>
        <w:t xml:space="preserve">- определение верхнего предела уровня облагаемого размера заработной платы при начислении страховых взносов;</w:t>
      </w:r>
    </w:p>
    <w:p>
      <w:pPr>
        <w:spacing w:after="60"/>
        <w:ind w:firstLine="567"/>
        <w:jc w:val="both"/>
      </w:pPr>
      <w:r>
        <w:rPr>
          <w:rFonts w:ascii="Arial" w:cs="Arial" w:eastAsia="Arial" w:hAnsi="Arial"/>
          <w:sz w:val="24"/>
          <w:szCs w:val="24"/>
        </w:rPr>
        <w:t xml:space="preserve">- поэтапное увеличение льготного пенсионного возраста, предусмотренного для высокогорных и отдаленных труднодоступных зон;</w:t>
      </w:r>
    </w:p>
    <w:p>
      <w:pPr>
        <w:spacing w:after="60"/>
        <w:ind w:firstLine="567"/>
        <w:jc w:val="both"/>
      </w:pPr>
      <w:r>
        <w:rPr>
          <w:rFonts w:ascii="Arial" w:cs="Arial" w:eastAsia="Arial" w:hAnsi="Arial"/>
          <w:sz w:val="24"/>
          <w:szCs w:val="24"/>
        </w:rPr>
        <w:t xml:space="preserve">- совершенствование механизма индексации накопленных на страховом счете взносов;</w:t>
      </w:r>
    </w:p>
    <w:p>
      <w:pPr>
        <w:spacing w:after="60"/>
        <w:ind w:firstLine="567"/>
        <w:jc w:val="both"/>
      </w:pPr>
      <w:r>
        <w:rPr>
          <w:rFonts w:ascii="Arial" w:cs="Arial" w:eastAsia="Arial" w:hAnsi="Arial"/>
          <w:sz w:val="24"/>
          <w:szCs w:val="24"/>
        </w:rPr>
        <w:t xml:space="preserve">- введение минимального страхового стажа для получения права на пенсию по возрасту;</w:t>
      </w:r>
    </w:p>
    <w:p>
      <w:pPr>
        <w:spacing w:after="60"/>
        <w:ind w:firstLine="567"/>
        <w:jc w:val="both"/>
      </w:pPr>
      <w:r>
        <w:rPr>
          <w:rFonts w:ascii="Arial" w:cs="Arial" w:eastAsia="Arial" w:hAnsi="Arial"/>
          <w:sz w:val="24"/>
          <w:szCs w:val="24"/>
        </w:rPr>
        <w:t xml:space="preserve">- проработка вопроса о заключении Договора о пенсионном обеспечении трудящихся государств-членов Евразийского экономического союза;</w:t>
      </w:r>
    </w:p>
    <w:p>
      <w:pPr>
        <w:spacing w:after="60"/>
        <w:ind w:firstLine="567"/>
        <w:jc w:val="both"/>
      </w:pPr>
      <w:r>
        <w:rPr>
          <w:rFonts w:ascii="Arial" w:cs="Arial" w:eastAsia="Arial" w:hAnsi="Arial"/>
          <w:sz w:val="24"/>
          <w:szCs w:val="24"/>
        </w:rPr>
        <w:t xml:space="preserve">- проработка вопроса возможности заключения Договора между Кыргызской Республикой и Турецкой Республикой в области пенсионного страхования, а также с Республикой Корея - о переводе страховых взносов, уплачиваемых трудовыми мигрантами;</w:t>
      </w:r>
    </w:p>
    <w:p>
      <w:pPr>
        <w:spacing w:after="60"/>
        <w:ind w:firstLine="567"/>
        <w:jc w:val="both"/>
      </w:pPr>
      <w:r>
        <w:rPr>
          <w:rFonts w:ascii="Arial" w:cs="Arial" w:eastAsia="Arial" w:hAnsi="Arial"/>
          <w:sz w:val="24"/>
          <w:szCs w:val="24"/>
        </w:rPr>
        <w:t xml:space="preserve">- определению возможности введения альтернативного варианта в виде единого социального налога по опыту других стран.</w:t>
      </w:r>
    </w:p>
    <w:p>
      <w:pPr>
        <w:spacing w:after="60"/>
        <w:ind w:firstLine="567"/>
        <w:jc w:val="both"/>
      </w:pPr>
      <w:r>
        <w:rPr>
          <w:rFonts w:ascii="Arial" w:cs="Arial" w:eastAsia="Arial" w:hAnsi="Arial"/>
          <w:sz w:val="24"/>
          <w:szCs w:val="24"/>
        </w:rPr>
        <w:t xml:space="preserve">Основные направления развития системы образования изложены в Концепции и Стратегии развития образования в Кыргызской Республике на 2012-2020 годы (постановление Правительства Кыргызской Республики от 23 марта 2012 года № 201). В рамках Стратегии развития образования на 2012-2020 годы реализовывается 7 программ (управление, мониторинг и стратегическое планирование в образовании, дошкольное образование и подготовка детей к школе, школьное образование, внешкольное образование, начальное профессиональное образование, среднее профессиональное образование, высшее профессиональное образование, образование взрослых и неформальное образование), охватывающих основные уровни системы образования и реализующие концептуальное положение, закрепленное в ключевых международных и страновых документах об образовании на протяжении всей жизни.</w:t>
      </w:r>
    </w:p>
    <w:p>
      <w:pPr>
        <w:spacing w:after="60"/>
        <w:ind w:firstLine="567"/>
        <w:jc w:val="both"/>
      </w:pPr>
      <w:r>
        <w:rPr>
          <w:rFonts w:ascii="Arial" w:cs="Arial" w:eastAsia="Arial" w:hAnsi="Arial"/>
          <w:sz w:val="24"/>
          <w:szCs w:val="24"/>
        </w:rPr>
        <w:t xml:space="preserve">Данная концепция является отражением Цели 4 из Целей устойчивого развития - "Обеспечение всеобщего и справедливого качественного образования и поощрение возможности обучения на протяжении всей жизни для всех".</w:t>
      </w:r>
    </w:p>
    <w:p>
      <w:pPr>
        <w:spacing w:after="60"/>
        <w:ind w:firstLine="567"/>
        <w:jc w:val="both"/>
      </w:pPr>
      <w:r>
        <w:rPr>
          <w:rFonts w:ascii="Arial" w:cs="Arial" w:eastAsia="Arial" w:hAnsi="Arial"/>
          <w:sz w:val="24"/>
          <w:szCs w:val="24"/>
        </w:rPr>
        <w:t xml:space="preserve">Программы, которые будут реализовываться на протяжении всего срока действия Стратегии развития образования до 2020 года, охватывают следующие уровни образования и их важнейшие приоритеты:</w:t>
      </w:r>
    </w:p>
    <w:p>
      <w:pPr>
        <w:spacing w:after="60"/>
        <w:ind w:firstLine="567"/>
        <w:jc w:val="both"/>
      </w:pPr>
      <w:r>
        <w:rPr>
          <w:rFonts w:ascii="Arial" w:cs="Arial" w:eastAsia="Arial" w:hAnsi="Arial"/>
          <w:sz w:val="24"/>
          <w:szCs w:val="24"/>
        </w:rPr>
        <w:t xml:space="preserve">- управление, мониторинг и стратегическое планирование в образовании;</w:t>
      </w:r>
    </w:p>
    <w:p>
      <w:pPr>
        <w:spacing w:after="60"/>
        <w:ind w:firstLine="567"/>
        <w:jc w:val="both"/>
      </w:pPr>
      <w:r>
        <w:rPr>
          <w:rFonts w:ascii="Arial" w:cs="Arial" w:eastAsia="Arial" w:hAnsi="Arial"/>
          <w:sz w:val="24"/>
          <w:szCs w:val="24"/>
        </w:rPr>
        <w:t xml:space="preserve">- дошкольное образование и подготовка детей к школе;</w:t>
      </w:r>
    </w:p>
    <w:p>
      <w:pPr>
        <w:spacing w:after="60"/>
        <w:ind w:firstLine="567"/>
        <w:jc w:val="both"/>
      </w:pPr>
      <w:r>
        <w:rPr>
          <w:rFonts w:ascii="Arial" w:cs="Arial" w:eastAsia="Arial" w:hAnsi="Arial"/>
          <w:sz w:val="24"/>
          <w:szCs w:val="24"/>
        </w:rPr>
        <w:t xml:space="preserve">- школьное образование, внешкольное образование;</w:t>
      </w:r>
    </w:p>
    <w:p>
      <w:pPr>
        <w:spacing w:after="60"/>
        <w:ind w:firstLine="567"/>
        <w:jc w:val="both"/>
      </w:pPr>
      <w:r>
        <w:rPr>
          <w:rFonts w:ascii="Arial" w:cs="Arial" w:eastAsia="Arial" w:hAnsi="Arial"/>
          <w:sz w:val="24"/>
          <w:szCs w:val="24"/>
        </w:rPr>
        <w:t xml:space="preserve">- начальное профессиональное образование;</w:t>
      </w:r>
    </w:p>
    <w:p>
      <w:pPr>
        <w:spacing w:after="60"/>
        <w:ind w:firstLine="567"/>
        <w:jc w:val="both"/>
      </w:pPr>
      <w:r>
        <w:rPr>
          <w:rFonts w:ascii="Arial" w:cs="Arial" w:eastAsia="Arial" w:hAnsi="Arial"/>
          <w:sz w:val="24"/>
          <w:szCs w:val="24"/>
        </w:rPr>
        <w:t xml:space="preserve">- среднее профессиональное образование;</w:t>
      </w:r>
    </w:p>
    <w:p>
      <w:pPr>
        <w:spacing w:after="60"/>
        <w:ind w:firstLine="567"/>
        <w:jc w:val="both"/>
      </w:pPr>
      <w:r>
        <w:rPr>
          <w:rFonts w:ascii="Arial" w:cs="Arial" w:eastAsia="Arial" w:hAnsi="Arial"/>
          <w:sz w:val="24"/>
          <w:szCs w:val="24"/>
        </w:rPr>
        <w:t xml:space="preserve">- высшее профессиональное образование;</w:t>
      </w:r>
    </w:p>
    <w:p>
      <w:pPr>
        <w:spacing w:after="60"/>
        <w:ind w:firstLine="567"/>
        <w:jc w:val="both"/>
      </w:pPr>
      <w:r>
        <w:rPr>
          <w:rFonts w:ascii="Arial" w:cs="Arial" w:eastAsia="Arial" w:hAnsi="Arial"/>
          <w:sz w:val="24"/>
          <w:szCs w:val="24"/>
        </w:rPr>
        <w:t xml:space="preserve">- образование взрослых и неформальное образование.</w:t>
      </w:r>
    </w:p>
    <w:p>
      <w:pPr>
        <w:spacing w:after="60"/>
        <w:ind w:firstLine="567"/>
        <w:jc w:val="both"/>
      </w:pPr>
      <w:r>
        <w:rPr>
          <w:rFonts w:ascii="Arial" w:cs="Arial" w:eastAsia="Arial" w:hAnsi="Arial"/>
          <w:sz w:val="24"/>
          <w:szCs w:val="24"/>
        </w:rPr>
        <w:t xml:space="preserve">Главные ориентиры системы здравоохранения заложены в Стратегии охраны и укрепления здоровья населения Кыргызской Республики до 2020 года ("Здоровье - 2020") и будут осуществляться согласно Плана мероприятий реализации Стратегия "Здоровье - 2020" (постановление Правительства Кыргызской Республики от 4 июня 2014 года № 306).</w:t>
      </w:r>
    </w:p>
    <w:p>
      <w:pPr>
        <w:spacing w:after="60"/>
        <w:ind w:firstLine="567"/>
        <w:jc w:val="both"/>
      </w:pPr>
      <w:r>
        <w:rPr>
          <w:rFonts w:ascii="Arial" w:cs="Arial" w:eastAsia="Arial" w:hAnsi="Arial"/>
          <w:sz w:val="24"/>
          <w:szCs w:val="24"/>
        </w:rPr>
        <w:t xml:space="preserve">Основной целью данной стратегии является создание социальных, экономических и управленческих условий, необходимых для эффективной профилактики различных заболеваний, повышения качества и доступности медицинских услуг в организациях здравоохранения и устойчивости системы здравоохранения, движимой интересами людей и каждого человека, на основе межсекторального подхода и соблюдении принципа солидарности.</w:t>
      </w:r>
    </w:p>
    <w:p>
      <w:pPr>
        <w:spacing w:after="60"/>
        <w:ind w:firstLine="567"/>
        <w:jc w:val="both"/>
      </w:pPr>
      <w:r>
        <w:rPr>
          <w:rFonts w:ascii="Arial" w:cs="Arial" w:eastAsia="Arial" w:hAnsi="Arial"/>
          <w:sz w:val="24"/>
          <w:szCs w:val="24"/>
        </w:rPr>
        <w:t xml:space="preserve">Исходя из прогнозируемых макроэкономических параметров, социальные показатели в 2017-2019 годах будут складываться следующим образом.</w:t>
      </w:r>
    </w:p>
    <w:p>
      <w:pPr>
        <w:spacing w:after="60"/>
        <w:ind w:firstLine="567"/>
        <w:jc w:val="both"/>
      </w:pPr>
      <w:r>
        <w:rPr>
          <w:rFonts w:ascii="Arial" w:cs="Arial" w:eastAsia="Arial" w:hAnsi="Arial"/>
          <w:sz w:val="24"/>
          <w:szCs w:val="24"/>
        </w:rPr>
        <w:t xml:space="preserve">Реальный рост денежных доходов населения в 2017-2019 годах прогнозируется в среднем на уровне 3,0%, что будет способствовать росту частного потребления на 4,3% в среднем за год. В прогнозируемом периоде доля государственного потребления снизится на 1,9 процентного пункта по сравнению с 2016 годом и составит в 2019 году 15,1% к ВВП. Источником роста денежных доходов будет устойчивый экономический рост, прогнозируемый на период 2017-2019 годы в среднем на 4,4%.</w:t>
      </w:r>
    </w:p>
    <w:p>
      <w:pPr>
        <w:spacing w:after="60"/>
        <w:ind w:firstLine="567"/>
        <w:jc w:val="both"/>
      </w:pPr>
      <w:r>
        <w:rPr>
          <w:rFonts w:ascii="Arial" w:cs="Arial" w:eastAsia="Arial" w:hAnsi="Arial"/>
          <w:sz w:val="24"/>
          <w:szCs w:val="24"/>
        </w:rPr>
        <w:t xml:space="preserve">В структуре денежных доходов номинальный размер средней заработной платы возрастет в среднем на 8,8% и в 2019 году составит 18320,0 сомов.</w:t>
      </w:r>
    </w:p>
    <w:p>
      <w:pPr>
        <w:spacing w:after="60"/>
        <w:ind w:firstLine="567"/>
        <w:jc w:val="both"/>
      </w:pPr>
      <w:r>
        <w:rPr>
          <w:rFonts w:ascii="Arial" w:cs="Arial" w:eastAsia="Arial" w:hAnsi="Arial"/>
          <w:sz w:val="24"/>
          <w:szCs w:val="24"/>
        </w:rPr>
        <w:t xml:space="preserve">Размер прожиточного минимума (ПМ) увеличится с 5338,5 сома в 2016 году до 6352,1 сома - в 2019 году. Коэффициент отношения среднемесячной заработной платы к прожиточному минимуму на взрослое население трудоспособного возраста сложится к 2019 году на уровне 2,6.</w:t>
      </w:r>
    </w:p>
    <w:p>
      <w:pPr>
        <w:spacing w:after="60"/>
        <w:ind w:firstLine="567"/>
        <w:jc w:val="both"/>
      </w:pPr>
      <w:r>
        <w:rPr>
          <w:rFonts w:ascii="Arial" w:cs="Arial" w:eastAsia="Arial" w:hAnsi="Arial"/>
          <w:sz w:val="24"/>
          <w:szCs w:val="24"/>
        </w:rPr>
        <w:t xml:space="preserve">Номинальный размер пенсии увеличится относительно 2016 года на 19,2% и в 2019 году составит 6000,0 сомов.</w:t>
      </w:r>
    </w:p>
    <w:p>
      <w:pPr>
        <w:spacing w:after="60"/>
        <w:ind w:firstLine="567"/>
        <w:jc w:val="both"/>
      </w:pPr>
      <w:r>
        <w:rPr>
          <w:rFonts w:ascii="Arial" w:cs="Arial" w:eastAsia="Arial" w:hAnsi="Arial"/>
          <w:sz w:val="24"/>
          <w:szCs w:val="24"/>
        </w:rPr>
        <w:t xml:space="preserve">Прогнозируемый уровень общей безработицы снизится и к 2019 году составит 7,7% относительно 8,0% фактически сложившегося уровня в 2014 году.</w:t>
      </w:r>
    </w:p>
    <w:p>
      <w:pPr>
        <w:spacing w:after="60"/>
        <w:ind w:firstLine="567"/>
        <w:jc w:val="both"/>
      </w:pPr>
      <w:r>
        <w:rPr>
          <w:rFonts w:ascii="Arial" w:cs="Arial" w:eastAsia="Arial" w:hAnsi="Arial"/>
          <w:sz w:val="24"/>
          <w:szCs w:val="24"/>
        </w:rPr>
        <w:t xml:space="preserve">Уровень бедности к 2019 году прогнозируется на уровне 28,4% и снизится на 2,2 процентного пункта по сравнению с 2015 годом.</w:t>
      </w:r>
    </w:p>
    <w:p>
      <w:pPr>
        <w:spacing w:after="200" w:before="200"/>
        <w:jc w:val="center"/>
      </w:pPr>
      <w:r>
        <w:rPr>
          <w:rFonts w:ascii="Arial" w:cs="Arial" w:eastAsia="Arial" w:hAnsi="Arial"/>
          <w:b/>
          <w:bCs/>
          <w:sz w:val="24"/>
          <w:szCs w:val="24"/>
        </w:rPr>
        <w:t xml:space="preserve">Заключение</w:t>
      </w:r>
    </w:p>
    <w:p>
      <w:pPr>
        <w:spacing w:after="60"/>
        <w:ind w:firstLine="567"/>
        <w:jc w:val="both"/>
      </w:pPr>
      <w:r>
        <w:rPr>
          <w:rFonts w:ascii="Arial" w:cs="Arial" w:eastAsia="Arial" w:hAnsi="Arial"/>
          <w:sz w:val="24"/>
          <w:szCs w:val="24"/>
        </w:rPr>
        <w:t xml:space="preserve">В среднесрочной перспективе на 2017-2019 годы обеспечение экономического роста в среднем на 4,4% в год будет обеспечиваться за счет:</w:t>
      </w:r>
    </w:p>
    <w:p>
      <w:pPr>
        <w:spacing w:after="60"/>
        <w:ind w:firstLine="567"/>
        <w:jc w:val="both"/>
      </w:pPr>
      <w:r>
        <w:rPr>
          <w:rFonts w:ascii="Arial" w:cs="Arial" w:eastAsia="Arial" w:hAnsi="Arial"/>
          <w:sz w:val="24"/>
          <w:szCs w:val="24"/>
        </w:rPr>
        <w:t xml:space="preserve">- повышения конкурентоспособности национальной экономики через проведение кардинальных реформ для улучшения бизнес - среды;</w:t>
      </w:r>
    </w:p>
    <w:p>
      <w:pPr>
        <w:spacing w:after="60"/>
        <w:ind w:firstLine="567"/>
        <w:jc w:val="both"/>
      </w:pPr>
      <w:r>
        <w:rPr>
          <w:rFonts w:ascii="Arial" w:cs="Arial" w:eastAsia="Arial" w:hAnsi="Arial"/>
          <w:sz w:val="24"/>
          <w:szCs w:val="24"/>
        </w:rPr>
        <w:t xml:space="preserve">- реализации бюджетной политики, оптимизации государственных расходов;</w:t>
      </w:r>
    </w:p>
    <w:p>
      <w:pPr>
        <w:spacing w:after="60"/>
        <w:ind w:firstLine="567"/>
        <w:jc w:val="both"/>
      </w:pPr>
      <w:r>
        <w:rPr>
          <w:rFonts w:ascii="Arial" w:cs="Arial" w:eastAsia="Arial" w:hAnsi="Arial"/>
          <w:sz w:val="24"/>
          <w:szCs w:val="24"/>
        </w:rPr>
        <w:t xml:space="preserve">- построения прозрачной и эффективной системы исполнительной власти, свободной от влияния коррупции.</w:t>
      </w:r>
    </w:p>
    <w:p>
      <w:pPr>
        <w:spacing w:after="60"/>
        <w:ind w:firstLine="567"/>
        <w:jc w:val="both"/>
      </w:pPr>
      <w:r>
        <w:rPr>
          <w:rFonts w:ascii="Arial" w:cs="Arial" w:eastAsia="Arial" w:hAnsi="Arial"/>
          <w:sz w:val="24"/>
          <w:szCs w:val="24"/>
        </w:rPr>
        <w:t xml:space="preserve">Среднесрочные целевые макроэкономические показатели будут достигаться через реализацию инвестиционных проектов, эффективное управление государственными активами страны, реформирование системы государственного регулирования для стимулирования всех отраслей экономики.</w:t>
      </w:r>
    </w:p>
    <w:p>
      <w:pPr>
        <w:spacing w:after="60"/>
        <w:ind w:firstLine="567"/>
        <w:jc w:val="both"/>
      </w:pPr>
      <w:r>
        <w:rPr>
          <w:rFonts w:ascii="Arial" w:cs="Arial" w:eastAsia="Arial" w:hAnsi="Arial"/>
          <w:sz w:val="24"/>
          <w:szCs w:val="24"/>
        </w:rPr>
        <w:t xml:space="preserve">Экономический рост будет поддерживаться со стороны всех секторов реальной экономики, формирующих ВВП страны.</w:t>
      </w:r>
    </w:p>
    <w:p>
      <w:pPr>
        <w:spacing w:after="60"/>
        <w:ind w:firstLine="567"/>
        <w:jc w:val="both"/>
      </w:pPr>
      <w:r>
        <w:rPr>
          <w:rFonts w:ascii="Arial" w:cs="Arial" w:eastAsia="Arial" w:hAnsi="Arial"/>
          <w:sz w:val="24"/>
          <w:szCs w:val="24"/>
        </w:rPr>
        <w:t xml:space="preserve">Правительством Кыргызской Республики, при необходимости, будет разработана система мер, направленная на смягчение возможного шокового воздействия на экономику от негативных процессов, связанных с ухудшением мировой конъюнктуры.</w:t>
      </w:r>
    </w:p>
    <w:p>
      <w:pPr>
        <w:spacing w:after="60"/>
        <w:ind w:firstLine="567"/>
        <w:jc w:val="both"/>
      </w:pPr>
      <w:r>
        <w:rPr>
          <w:rFonts w:ascii="Arial" w:cs="Arial" w:eastAsia="Arial" w:hAnsi="Arial"/>
          <w:sz w:val="24"/>
          <w:szCs w:val="24"/>
        </w:rPr>
        <w:t xml:space="preserve">Важным условием выполнения прогнозируемых целевых показателей на среднесрочный период является сохранение политической стабильности, поступление в сектор экономики прогнозируемых объемов инвестиций, а также принятие мер для минимизации, влияющих на экономику внешних и внутренних шоков.</w:t>
      </w:r>
    </w:p>
    <w:p>
      <w:pPr>
        <w:spacing w:after="60"/>
        <w:ind w:firstLine="567"/>
        <w:jc w:val="both"/>
      </w:pPr>
      <w:r>
        <w:rPr>
          <w:rFonts w:ascii="Arial" w:cs="Arial" w:eastAsia="Arial" w:hAnsi="Arial"/>
          <w:sz w:val="24"/>
          <w:szCs w:val="24"/>
        </w:rPr>
        <w:t xml:space="preserve">Перечень показателей прогноза социально-экономического развития Кыргызской Республики определен в приложениях </w:t>
      </w:r>
      <w:r>
        <w:rPr>
          <w:rFonts w:ascii="Arial" w:cs="Arial" w:eastAsia="Arial" w:hAnsi="Arial"/>
          <w:sz w:val="24"/>
          <w:szCs w:val="24"/>
        </w:rPr>
        <w:t xml:space="preserve">1</w:t>
      </w:r>
      <w:r>
        <w:rPr>
          <w:rFonts w:ascii="Arial" w:cs="Arial" w:eastAsia="Arial" w:hAnsi="Arial"/>
          <w:sz w:val="24"/>
          <w:szCs w:val="24"/>
        </w:rPr>
        <w:t xml:space="preserve">-</w:t>
      </w:r>
      <w:r>
        <w:rPr>
          <w:rFonts w:ascii="Arial" w:cs="Arial" w:eastAsia="Arial" w:hAnsi="Arial"/>
          <w:sz w:val="24"/>
          <w:szCs w:val="24"/>
        </w:rPr>
        <w:t xml:space="preserve">15</w:t>
      </w:r>
      <w:r>
        <w:rPr>
          <w:rFonts w:ascii="Arial" w:cs="Arial" w:eastAsia="Arial" w:hAnsi="Arial"/>
          <w:sz w:val="24"/>
          <w:szCs w:val="24"/>
        </w:rPr>
        <w:t xml:space="preserve"> к настоящему Среднесрочному прогнозу социально-экономического развития Кыргызской Республики на 2017-2019 годы.</w:t>
      </w:r>
    </w:p>
    <w:p>
      <w:pPr>
        <w:spacing w:after="60"/>
        <w:ind w:firstLine="567"/>
        <w:jc w:val="both"/>
      </w:pPr>
      <w:r>
        <w:rPr>
          <w:rFonts w:ascii="Arial" w:cs="Arial" w:eastAsia="Arial" w:hAnsi="Arial"/>
          <w:sz w:val="24"/>
          <w:szCs w:val="24"/>
        </w:rPr>
        <w:t xml:space="preserve">__________________</w:t>
      </w:r>
    </w:p>
    <w:p>
      <w:pPr>
        <w:spacing w:after="60"/>
        <w:ind w:firstLine="567"/>
        <w:jc w:val="both"/>
      </w:pPr>
      <w:r>
        <w:rPr>
          <w:rFonts w:ascii="Arial" w:cs="Arial" w:eastAsia="Arial" w:hAnsi="Arial"/>
          <w:sz w:val="24"/>
          <w:szCs w:val="24"/>
        </w:rPr>
        <w:t xml:space="preserve">Примечания:</w:t>
      </w:r>
    </w:p>
    <w:p>
      <w:pPr>
        <w:spacing w:after="60"/>
        <w:ind w:firstLine="567"/>
        <w:jc w:val="both"/>
      </w:pPr>
      <w:r>
        <w:rPr>
          <w:rFonts w:ascii="Arial" w:cs="Arial" w:eastAsia="Arial" w:hAnsi="Arial"/>
          <w:sz w:val="24"/>
          <w:szCs w:val="24"/>
        </w:rPr>
        <w:t xml:space="preserve">(1) Показатели приведены по валовой добавленной стоимости.</w:t>
      </w:r>
    </w:p>
    <w:p>
      <w:pPr>
        <w:spacing w:after="60"/>
        <w:ind w:firstLine="567"/>
        <w:jc w:val="both"/>
      </w:pPr>
      <w:r>
        <w:rPr>
          <w:rFonts w:ascii="Arial" w:cs="Arial" w:eastAsia="Arial" w:hAnsi="Arial"/>
          <w:sz w:val="24"/>
          <w:szCs w:val="24"/>
        </w:rPr>
        <w:t xml:space="preserve">(2) По данным Всемирного банка.</w:t>
      </w:r>
    </w:p>
    <w:p>
      <w:pPr>
        <w:spacing w:after="60"/>
        <w:ind w:firstLine="567"/>
        <w:jc w:val="both"/>
      </w:pPr>
      <w:r>
        <w:rPr>
          <w:rFonts w:ascii="Arial" w:cs="Arial" w:eastAsia="Arial" w:hAnsi="Arial"/>
          <w:sz w:val="24"/>
          <w:szCs w:val="24"/>
        </w:rPr>
        <w:t xml:space="preserve">(3) По данным Министерства экономики Российской Федерации от 26 октября 2015 г.</w:t>
      </w:r>
    </w:p>
    <w:p>
      <w:pPr>
        <w:spacing w:after="60"/>
        <w:ind w:firstLine="567"/>
        <w:jc w:val="both"/>
      </w:pPr>
      <w:r>
        <w:rPr>
          <w:rFonts w:ascii="Arial" w:cs="Arial" w:eastAsia="Arial" w:hAnsi="Arial"/>
          <w:sz w:val="24"/>
          <w:szCs w:val="24"/>
        </w:rPr>
        <w:t xml:space="preserve">(4) По данным Министерства национальной экономики Республики Казахстан от 17 ноября 2015 года протокол № 47.</w:t>
      </w:r>
    </w:p>
    <w:p>
      <w:pPr>
        <w:spacing w:after="60"/>
        <w:ind w:firstLine="567"/>
        <w:jc w:val="both"/>
      </w:pPr>
      <w:r>
        <w:rPr>
          <w:rFonts w:ascii="Arial" w:cs="Arial" w:eastAsia="Arial" w:hAnsi="Arial"/>
          <w:sz w:val="24"/>
          <w:szCs w:val="24"/>
        </w:rPr>
        <w:t xml:space="preserve">(5) По данным Всемирного банка "Global Economic Prospects" за январь 2016 г.</w:t>
      </w:r>
    </w:p>
    <w:p>
      <w:pPr>
        <w:spacing w:after="60"/>
        <w:ind w:firstLine="567"/>
        <w:jc w:val="both"/>
      </w:pPr>
      <w:r>
        <w:rPr>
          <w:rFonts w:ascii="Arial" w:cs="Arial" w:eastAsia="Arial" w:hAnsi="Arial"/>
          <w:sz w:val="24"/>
          <w:szCs w:val="24"/>
        </w:rPr>
        <w:t xml:space="preserve">(6) Прогнозные данные на 2016-2018 годы по данным Всемирного банка "Global Economic Prospects" за январь 2016 г.</w:t>
      </w:r>
    </w:p>
    <w:p>
      <w:pPr>
        <w:spacing w:after="60"/>
        <w:ind w:firstLine="567"/>
        <w:jc w:val="both"/>
      </w:pPr>
      <w:r>
        <w:rPr>
          <w:rFonts w:ascii="Arial" w:cs="Arial" w:eastAsia="Arial" w:hAnsi="Arial"/>
          <w:sz w:val="24"/>
          <w:szCs w:val="24"/>
        </w:rPr>
        <w:t xml:space="preserve">(7) Прогноз Международного валютного фонда, октябрь 2015 года.</w:t>
      </w:r>
    </w:p>
    <w:p>
      <w:pPr>
        <w:spacing w:after="60"/>
        <w:ind w:firstLine="567"/>
        <w:jc w:val="both"/>
      </w:pPr>
      <w:r>
        <w:rPr>
          <w:rFonts w:ascii="Arial" w:cs="Arial" w:eastAsia="Arial" w:hAnsi="Arial"/>
          <w:sz w:val="24"/>
          <w:szCs w:val="24"/>
        </w:rPr>
        <w:t xml:space="preserve">(8) По данным Министерства экономики Российской Федерации от 26 октября 2015 года.</w:t>
      </w:r>
    </w:p>
    <w:p>
      <w:pPr>
        <w:spacing w:after="60"/>
        <w:ind w:firstLine="567"/>
        <w:jc w:val="both"/>
      </w:pPr>
      <w:r>
        <w:rPr>
          <w:rFonts w:ascii="Arial" w:cs="Arial" w:eastAsia="Arial" w:hAnsi="Arial"/>
          <w:sz w:val="24"/>
          <w:szCs w:val="24"/>
        </w:rPr>
        <w:t xml:space="preserve">(9) По данным Министерства национальной экономики Республики Казахстан от 17 ноября 2015 года протокол № 47.</w:t>
      </w:r>
    </w:p>
    <w:p>
      <w:pPr>
        <w:spacing w:after="60"/>
        <w:ind w:firstLine="567"/>
        <w:jc w:val="both"/>
      </w:pPr>
      <w:r>
        <w:rPr>
          <w:rFonts w:ascii="Arial" w:cs="Arial" w:eastAsia="Arial" w:hAnsi="Arial"/>
          <w:sz w:val="24"/>
          <w:szCs w:val="24"/>
        </w:rPr>
        <w:t xml:space="preserve">(10) По данным Министерства национальной экономики Республики Казахстан от 23 февраля 2016 года.</w:t>
      </w:r>
    </w:p>
    <w:p>
      <w:pPr>
        <w:spacing w:after="60"/>
        <w:ind w:firstLine="567"/>
        <w:jc w:val="both"/>
      </w:pPr>
      <w:r>
        <w:rPr>
          <w:rFonts w:ascii="Arial" w:cs="Arial" w:eastAsia="Arial" w:hAnsi="Arial"/>
          <w:sz w:val="24"/>
          <w:szCs w:val="24"/>
        </w:rPr>
        <w:t xml:space="preserve">(11) Темпы прироста приведены по ВДС.</w:t>
      </w:r>
    </w:p>
    <w:p>
      <w:pPr>
        <w:spacing w:after="60"/>
        <w:ind w:firstLine="567"/>
        <w:jc w:val="both"/>
      </w:pPr>
      <w:r>
        <w:rPr>
          <w:rFonts w:ascii="Arial" w:cs="Arial" w:eastAsia="Arial" w:hAnsi="Arial"/>
          <w:sz w:val="24"/>
          <w:szCs w:val="24"/>
        </w:rPr>
        <w:t xml:space="preserve">(12) Темпы прироста приведены по ВДС.</w:t>
      </w:r>
    </w:p>
    <w:p>
      <w:pPr>
        <w:spacing w:after="60"/>
        <w:ind w:firstLine="567"/>
        <w:jc w:val="both"/>
      </w:pPr>
      <w:r>
        <w:rPr>
          <w:rFonts w:ascii="Arial" w:cs="Arial" w:eastAsia="Arial" w:hAnsi="Arial"/>
          <w:sz w:val="24"/>
          <w:szCs w:val="24"/>
        </w:rPr>
        <w:t xml:space="preserve">(13) Без учета стоимости переработанного давальческого сырья.</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Среднесрочному прогнозу социально-экономического развития Кыргызской Республики на 2017-2019 годы</w:t>
      </w:r>
    </w:p>
    <w:p>
      <w:pPr>
        <w:spacing w:after="400" w:before="400"/>
        <w:jc w:val="center"/>
      </w:pPr>
      <w:r>
        <w:rPr>
          <w:rFonts w:ascii="Arial" w:cs="Arial" w:eastAsia="Arial" w:hAnsi="Arial"/>
          <w:b/>
          <w:bCs/>
          <w:sz w:val="32"/>
          <w:szCs w:val="32"/>
        </w:rPr>
        <w:t xml:space="preserve">СРЕДНЕСРОЧНЫЙ ПРОГНОЗ
 социально-экономического развития Кыргызской Республики на 2017-2019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058"/>
        <w:gridCol w:w="1238"/>
        <w:gridCol w:w="1055"/>
        <w:gridCol w:w="957"/>
        <w:gridCol w:w="957"/>
        <w:gridCol w:w="957"/>
        <w:gridCol w:w="957"/>
      </w:tblGrid>
      <w:tr>
        <w:tc>
          <w:tcPr>
            <w:tcW w:type="dxa" w:w="4058"/>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23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Единица измерения</w:t>
            </w:r>
          </w:p>
        </w:tc>
        <w:tc>
          <w:tcPr>
            <w:tcW w:type="dxa" w:w="105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год</w:t>
            </w:r>
          </w:p>
        </w:tc>
        <w:tc>
          <w:tcPr>
            <w:tcW w:type="dxa" w:w="95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год</w:t>
            </w:r>
          </w:p>
        </w:tc>
        <w:tc>
          <w:tcPr>
            <w:tcW w:type="dxa" w:w="95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год</w:t>
            </w:r>
          </w:p>
        </w:tc>
        <w:tc>
          <w:tcPr>
            <w:tcW w:type="dxa" w:w="95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w:t>
            </w:r>
          </w:p>
        </w:tc>
        <w:tc>
          <w:tcPr>
            <w:tcW w:type="dxa" w:w="95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0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предв. факт</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r>
      <w:tr>
        <w:tc>
          <w:tcPr>
            <w:tcW w:type="dxa" w:w="10179"/>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 Производство ВВП:</w:t>
            </w:r>
          </w:p>
        </w:tc>
      </w:tr>
      <w:tr>
        <w:tc>
          <w:tcPr>
            <w:tcW w:type="dxa" w:w="405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Номинальный ВВП</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сомов</w:t>
            </w:r>
          </w:p>
        </w:tc>
        <w:tc>
          <w:tcPr>
            <w:tcW w:type="dxa" w:w="10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423635,5</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461527,1</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511067,5</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567627,5</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634524,3</w:t>
            </w:r>
          </w:p>
        </w:tc>
      </w:tr>
      <w:tr>
        <w:tc>
          <w:tcPr>
            <w:tcW w:type="dxa" w:w="4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r>
      <w:tr>
        <w:tc>
          <w:tcPr>
            <w:tcW w:type="dxa" w:w="4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Дефлятор, в % к предыдущему году</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105,7</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106,4</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r>
      <w:tr>
        <w:tc>
          <w:tcPr>
            <w:tcW w:type="dxa" w:w="405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Добавленная стоимость</w:t>
            </w:r>
          </w:p>
        </w:tc>
        <w:tc>
          <w:tcPr>
            <w:tcW w:type="dxa" w:w="12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сомов</w:t>
            </w:r>
          </w:p>
        </w:tc>
        <w:tc>
          <w:tcPr>
            <w:tcW w:type="dxa" w:w="10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64959,7</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68517,3</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70357,8</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74019,7</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83914,4</w:t>
            </w:r>
          </w:p>
        </w:tc>
      </w:tr>
      <w:tr>
        <w:tc>
          <w:tcPr>
            <w:tcW w:type="dxa" w:w="4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95,8</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98,2</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99,2</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110,1</w:t>
            </w:r>
          </w:p>
        </w:tc>
      </w:tr>
      <w:tr>
        <w:tc>
          <w:tcPr>
            <w:tcW w:type="dxa" w:w="4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 лесное хозяйство и рыболовство</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сомов</w:t>
            </w:r>
          </w:p>
        </w:tc>
        <w:tc>
          <w:tcPr>
            <w:tcW w:type="dxa" w:w="10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59395,6</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63542,0</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68960,9</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75096,6</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81977,4</w:t>
            </w:r>
          </w:p>
        </w:tc>
      </w:tr>
      <w:tr>
        <w:tc>
          <w:tcPr>
            <w:tcW w:type="dxa" w:w="4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r>
      <w:tr>
        <w:tc>
          <w:tcPr>
            <w:tcW w:type="dxa" w:w="4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сомов</w:t>
            </w:r>
          </w:p>
        </w:tc>
        <w:tc>
          <w:tcPr>
            <w:tcW w:type="dxa" w:w="10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35322,9</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40461,1</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47384,2</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55753,3</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66231,0</w:t>
            </w:r>
          </w:p>
        </w:tc>
      </w:tr>
      <w:tr>
        <w:tc>
          <w:tcPr>
            <w:tcW w:type="dxa" w:w="4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113,9</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109,3</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110,9</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111,7</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112,6</w:t>
            </w:r>
          </w:p>
        </w:tc>
      </w:tr>
      <w:tr>
        <w:tc>
          <w:tcPr>
            <w:tcW w:type="dxa" w:w="4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Сфера услуг</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сомов</w:t>
            </w:r>
          </w:p>
        </w:tc>
        <w:tc>
          <w:tcPr>
            <w:tcW w:type="dxa" w:w="10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212901,9</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233391,0</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262710,6</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294299,1</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326053,0</w:t>
            </w:r>
          </w:p>
        </w:tc>
      </w:tr>
      <w:tr>
        <w:tc>
          <w:tcPr>
            <w:tcW w:type="dxa" w:w="4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r>
      <w:tr>
        <w:tc>
          <w:tcPr>
            <w:tcW w:type="dxa" w:w="4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Чистые налоги на продукты и импорт</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сомов</w:t>
            </w:r>
          </w:p>
        </w:tc>
        <w:tc>
          <w:tcPr>
            <w:tcW w:type="dxa" w:w="10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51055,4</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55615,7</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61654,0</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68458,8</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76348,5</w:t>
            </w:r>
          </w:p>
        </w:tc>
      </w:tr>
      <w:tr>
        <w:tc>
          <w:tcPr>
            <w:tcW w:type="dxa" w:w="405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Справка:</w:t>
            </w:r>
          </w:p>
        </w:tc>
        <w:tc>
          <w:tcPr>
            <w:tcW w:type="dxa" w:w="12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 без учета предприятий по разработке месторождения Кумтор</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сомов</w:t>
            </w:r>
          </w:p>
        </w:tc>
        <w:tc>
          <w:tcPr>
            <w:tcW w:type="dxa" w:w="10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393351,6</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431565,6</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483258,1</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541455,8</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606328,6</w:t>
            </w:r>
          </w:p>
        </w:tc>
      </w:tr>
      <w:tr>
        <w:tc>
          <w:tcPr>
            <w:tcW w:type="dxa" w:w="4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w:t>
            </w:r>
          </w:p>
        </w:tc>
      </w:tr>
      <w:tr>
        <w:tc>
          <w:tcPr>
            <w:tcW w:type="dxa" w:w="4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Дефлятор, в % к предыдущему году</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106,7</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106,3</w:t>
            </w:r>
          </w:p>
        </w:tc>
      </w:tr>
      <w:tr>
        <w:tc>
          <w:tcPr>
            <w:tcW w:type="dxa" w:w="10179"/>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 Использование ВВП(1):</w:t>
            </w:r>
          </w:p>
        </w:tc>
      </w:tr>
      <w:tr>
        <w:tc>
          <w:tcPr>
            <w:tcW w:type="dxa" w:w="4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Конечное потребление</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сомов</w:t>
            </w:r>
          </w:p>
        </w:tc>
        <w:tc>
          <w:tcPr>
            <w:tcW w:type="dxa" w:w="10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473553,8</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516955,3</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567111,2</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626858,0</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687484,6</w:t>
            </w:r>
          </w:p>
        </w:tc>
      </w:tr>
      <w:tr>
        <w:tc>
          <w:tcPr>
            <w:tcW w:type="dxa" w:w="4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2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Частное потребление</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сомов</w:t>
            </w:r>
          </w:p>
        </w:tc>
        <w:tc>
          <w:tcPr>
            <w:tcW w:type="dxa" w:w="10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400189,2</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438263,7</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483294,7</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536954,8</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591701,2</w:t>
            </w:r>
          </w:p>
        </w:tc>
      </w:tr>
      <w:tr>
        <w:tc>
          <w:tcPr>
            <w:tcW w:type="dxa" w:w="4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99,4</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r>
      <w:tr>
        <w:tc>
          <w:tcPr>
            <w:tcW w:type="dxa" w:w="4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107,7</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105,7</w:t>
            </w:r>
          </w:p>
        </w:tc>
      </w:tr>
      <w:tr>
        <w:tc>
          <w:tcPr>
            <w:tcW w:type="dxa" w:w="4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Государственное потребление</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сомов</w:t>
            </w:r>
          </w:p>
        </w:tc>
        <w:tc>
          <w:tcPr>
            <w:tcW w:type="dxa" w:w="10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73364,6</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78691,6</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83816,5</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89903,2</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95783,4</w:t>
            </w:r>
          </w:p>
        </w:tc>
      </w:tr>
      <w:tr>
        <w:tc>
          <w:tcPr>
            <w:tcW w:type="dxa" w:w="4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99,7</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99,5</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w:t>
            </w:r>
          </w:p>
        </w:tc>
      </w:tr>
      <w:tr>
        <w:tc>
          <w:tcPr>
            <w:tcW w:type="dxa" w:w="4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107,8</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106,3</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r>
      <w:tr>
        <w:tc>
          <w:tcPr>
            <w:tcW w:type="dxa" w:w="4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Валовые инвестиции(2)</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сомов</w:t>
            </w:r>
          </w:p>
        </w:tc>
        <w:tc>
          <w:tcPr>
            <w:tcW w:type="dxa" w:w="10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156157,3</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171901,3</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191386,2</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214183,6</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240451,6</w:t>
            </w:r>
          </w:p>
        </w:tc>
      </w:tr>
      <w:tr>
        <w:tc>
          <w:tcPr>
            <w:tcW w:type="dxa" w:w="4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w:t>
            </w:r>
          </w:p>
        </w:tc>
      </w:tr>
      <w:tr>
        <w:tc>
          <w:tcPr>
            <w:tcW w:type="dxa" w:w="4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105,7</w:t>
            </w:r>
          </w:p>
        </w:tc>
      </w:tr>
      <w:tr>
        <w:tc>
          <w:tcPr>
            <w:tcW w:type="dxa" w:w="4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2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Государственные инвестиции</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сомов</w:t>
            </w:r>
          </w:p>
        </w:tc>
        <w:tc>
          <w:tcPr>
            <w:tcW w:type="dxa" w:w="10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26664,2</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42240,3</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41627,6</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39758,2</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42936,1</w:t>
            </w:r>
          </w:p>
        </w:tc>
      </w:tr>
      <w:tr>
        <w:tc>
          <w:tcPr>
            <w:tcW w:type="dxa" w:w="4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них: Программа государственных инвестиций (ПГИ внешние)</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сомов</w:t>
            </w:r>
          </w:p>
        </w:tc>
        <w:tc>
          <w:tcPr>
            <w:tcW w:type="dxa" w:w="10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10990,1</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27646,7</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32307,3</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27337,8</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24175,6</w:t>
            </w:r>
          </w:p>
        </w:tc>
      </w:tr>
      <w:tr>
        <w:tc>
          <w:tcPr>
            <w:tcW w:type="dxa" w:w="4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Частные инвестиции</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сомов</w:t>
            </w:r>
          </w:p>
        </w:tc>
        <w:tc>
          <w:tcPr>
            <w:tcW w:type="dxa" w:w="10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129493,1</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129661,0</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149758,6</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174425,4</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197515,5</w:t>
            </w:r>
          </w:p>
        </w:tc>
      </w:tr>
      <w:tr>
        <w:tc>
          <w:tcPr>
            <w:tcW w:type="dxa" w:w="4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Чистый экспорт товаров и услуг</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сомов</w:t>
            </w:r>
          </w:p>
        </w:tc>
        <w:tc>
          <w:tcPr>
            <w:tcW w:type="dxa" w:w="10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-206075,6</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-227329,5</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-247429,9</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-273414,0</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-293411,9</w:t>
            </w:r>
          </w:p>
        </w:tc>
      </w:tr>
      <w:tr>
        <w:tc>
          <w:tcPr>
            <w:tcW w:type="dxa" w:w="4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2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Экспорт товаров и услуг</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сомов</w:t>
            </w:r>
          </w:p>
        </w:tc>
        <w:tc>
          <w:tcPr>
            <w:tcW w:type="dxa" w:w="10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147489,5</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157858,9</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171261,5</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187986,4</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207426,6</w:t>
            </w:r>
          </w:p>
        </w:tc>
      </w:tr>
      <w:tr>
        <w:tc>
          <w:tcPr>
            <w:tcW w:type="dxa" w:w="4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94,7</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96,2</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r>
      <w:tr>
        <w:tc>
          <w:tcPr>
            <w:tcW w:type="dxa" w:w="4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111,2</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106,3</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r>
      <w:tr>
        <w:tc>
          <w:tcPr>
            <w:tcW w:type="dxa" w:w="4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Импорт товаров и услуг</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сомов</w:t>
            </w:r>
          </w:p>
        </w:tc>
        <w:tc>
          <w:tcPr>
            <w:tcW w:type="dxa" w:w="10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353565,0</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385188,4</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418691,4</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461400,4</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500838,5</w:t>
            </w:r>
          </w:p>
        </w:tc>
      </w:tr>
      <w:tr>
        <w:tc>
          <w:tcPr>
            <w:tcW w:type="dxa" w:w="4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93,4</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98,4</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r>
      <w:tr>
        <w:tc>
          <w:tcPr>
            <w:tcW w:type="dxa" w:w="4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107,7</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110,7</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r>
      <w:tr>
        <w:tc>
          <w:tcPr>
            <w:tcW w:type="dxa" w:w="10179"/>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III. Социальные показатели</w:t>
            </w:r>
          </w:p>
        </w:tc>
      </w:tr>
      <w:tr>
        <w:tc>
          <w:tcPr>
            <w:tcW w:type="dxa" w:w="4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 на душу населения</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сомов</w:t>
            </w:r>
          </w:p>
        </w:tc>
        <w:tc>
          <w:tcPr>
            <w:tcW w:type="dxa" w:w="10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74,4</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79,4</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86,2</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94,0</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r>
      <w:tr>
        <w:tc>
          <w:tcPr>
            <w:tcW w:type="dxa" w:w="4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 на душу населения</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долл. США</w:t>
            </w:r>
          </w:p>
        </w:tc>
        <w:tc>
          <w:tcPr>
            <w:tcW w:type="dxa" w:w="10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1146,2</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1058,0</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1096,0</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1144,8</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1209,4</w:t>
            </w:r>
          </w:p>
        </w:tc>
      </w:tr>
      <w:tr>
        <w:tc>
          <w:tcPr>
            <w:tcW w:type="dxa" w:w="4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Уровень бедности</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30,6</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30,5</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29,0</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28,5</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28,4</w:t>
            </w:r>
          </w:p>
        </w:tc>
      </w:tr>
      <w:tr>
        <w:tc>
          <w:tcPr>
            <w:tcW w:type="dxa" w:w="4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Денежные доходы населения</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сомов</w:t>
            </w:r>
          </w:p>
        </w:tc>
        <w:tc>
          <w:tcPr>
            <w:tcW w:type="dxa" w:w="10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300154,0</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321202,3</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347862,1</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380205,5</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417632,9</w:t>
            </w:r>
          </w:p>
        </w:tc>
      </w:tr>
      <w:tr>
        <w:tc>
          <w:tcPr>
            <w:tcW w:type="dxa" w:w="4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r>
      <w:tr>
        <w:tc>
          <w:tcPr>
            <w:tcW w:type="dxa" w:w="4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Прожиточный минимум</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сомов в месяц</w:t>
            </w:r>
          </w:p>
        </w:tc>
        <w:tc>
          <w:tcPr>
            <w:tcW w:type="dxa" w:w="10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5183,0</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5338,5</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5637,4</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5992,6</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6352,1</w:t>
            </w:r>
          </w:p>
        </w:tc>
      </w:tr>
      <w:tr>
        <w:tc>
          <w:tcPr>
            <w:tcW w:type="dxa" w:w="4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Прожиточный минимум для взрослого населения трудоспособного возраста</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сомов в месяц</w:t>
            </w:r>
          </w:p>
        </w:tc>
        <w:tc>
          <w:tcPr>
            <w:tcW w:type="dxa" w:w="10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5799,8</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5973,8</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6308,4</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6705,8</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7108,1</w:t>
            </w:r>
          </w:p>
        </w:tc>
      </w:tr>
      <w:tr>
        <w:tc>
          <w:tcPr>
            <w:tcW w:type="dxa" w:w="4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Прожиточный минимум для взрослого населения пенсионного возраста</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сомов в месяц</w:t>
            </w:r>
          </w:p>
        </w:tc>
        <w:tc>
          <w:tcPr>
            <w:tcW w:type="dxa" w:w="10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4637,2</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4776,3</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5043,8</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5361,6</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5683,3</w:t>
            </w:r>
          </w:p>
        </w:tc>
      </w:tr>
      <w:tr>
        <w:tc>
          <w:tcPr>
            <w:tcW w:type="dxa" w:w="4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Среднегодовая численность наличного населения</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чел.</w:t>
            </w:r>
          </w:p>
        </w:tc>
        <w:tc>
          <w:tcPr>
            <w:tcW w:type="dxa" w:w="10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5702,1</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5816,1</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5926,6</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6039,3</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6149,4</w:t>
            </w:r>
          </w:p>
        </w:tc>
      </w:tr>
      <w:tr>
        <w:tc>
          <w:tcPr>
            <w:tcW w:type="dxa" w:w="4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Среднемесячная заработная плата</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сомов</w:t>
            </w:r>
          </w:p>
        </w:tc>
        <w:tc>
          <w:tcPr>
            <w:tcW w:type="dxa" w:w="10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13277,0</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14210,0</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15270,0</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16700,0</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18320,0</w:t>
            </w:r>
          </w:p>
        </w:tc>
      </w:tr>
      <w:tr>
        <w:tc>
          <w:tcPr>
            <w:tcW w:type="dxa" w:w="4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r>
      <w:tr>
        <w:tc>
          <w:tcPr>
            <w:tcW w:type="dxa" w:w="4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 к прожиточному минимуму для трудоспособного населения</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228,9</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237,9</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242,1</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249,0</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257,7</w:t>
            </w:r>
          </w:p>
        </w:tc>
      </w:tr>
      <w:tr>
        <w:tc>
          <w:tcPr>
            <w:tcW w:type="dxa" w:w="4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Среднемесячный размер пенсий(3)</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сомов</w:t>
            </w:r>
          </w:p>
        </w:tc>
        <w:tc>
          <w:tcPr>
            <w:tcW w:type="dxa" w:w="10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4753,0</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5033,0</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5330,0</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5700,0</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6000,0</w:t>
            </w:r>
          </w:p>
        </w:tc>
      </w:tr>
      <w:tr>
        <w:tc>
          <w:tcPr>
            <w:tcW w:type="dxa" w:w="4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97,8</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100,3</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99,3</w:t>
            </w:r>
          </w:p>
        </w:tc>
      </w:tr>
      <w:tr>
        <w:tc>
          <w:tcPr>
            <w:tcW w:type="dxa" w:w="4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 к прожиточному минимуму пенсионера</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105,7</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106,3</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r>
      <w:tr>
        <w:tc>
          <w:tcPr>
            <w:tcW w:type="dxa" w:w="4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потребительских цен (ИПЦ)</w:t>
            </w:r>
          </w:p>
        </w:tc>
        <w:tc>
          <w:tcPr>
            <w:tcW w:type="dxa" w:w="12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 декабрю предыдущего года</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r>
      <w:tr>
        <w:tc>
          <w:tcPr>
            <w:tcW w:type="dxa" w:w="4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 предыдущему году</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106,3</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r>
      <w:tr>
        <w:tc>
          <w:tcPr>
            <w:tcW w:type="dxa" w:w="10179"/>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IV. Трудовые ресурсы</w:t>
            </w:r>
          </w:p>
        </w:tc>
      </w:tr>
      <w:tr>
        <w:tc>
          <w:tcPr>
            <w:tcW w:type="dxa" w:w="4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Численность экономически активного населения</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чел.</w:t>
            </w:r>
          </w:p>
        </w:tc>
        <w:tc>
          <w:tcPr>
            <w:tcW w:type="dxa" w:w="10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2535,2</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2565,2</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2592,2</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2618,2</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2644,9</w:t>
            </w:r>
          </w:p>
        </w:tc>
      </w:tr>
      <w:tr>
        <w:tc>
          <w:tcPr>
            <w:tcW w:type="dxa" w:w="4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r>
      <w:tr>
        <w:tc>
          <w:tcPr>
            <w:tcW w:type="dxa" w:w="4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Численность занятого населения</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чел.</w:t>
            </w:r>
          </w:p>
        </w:tc>
        <w:tc>
          <w:tcPr>
            <w:tcW w:type="dxa" w:w="10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2332,7</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2360,2</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2388,2</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2414,5</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2442,0</w:t>
            </w:r>
          </w:p>
        </w:tc>
      </w:tr>
      <w:tr>
        <w:tc>
          <w:tcPr>
            <w:tcW w:type="dxa" w:w="4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r>
      <w:tr>
        <w:tc>
          <w:tcPr>
            <w:tcW w:type="dxa" w:w="4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Численность безработных (общая)</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чел.</w:t>
            </w:r>
          </w:p>
        </w:tc>
        <w:tc>
          <w:tcPr>
            <w:tcW w:type="dxa" w:w="10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202,5</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205,0</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204,0</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203,7</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202,9</w:t>
            </w:r>
          </w:p>
        </w:tc>
      </w:tr>
      <w:tr>
        <w:tc>
          <w:tcPr>
            <w:tcW w:type="dxa" w:w="4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Уровень общей безработицы</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w:t>
            </w:r>
          </w:p>
        </w:tc>
      </w:tr>
      <w:tr>
        <w:tc>
          <w:tcPr>
            <w:tcW w:type="dxa" w:w="40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Производительность труда</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Среднесрочному прогнозу социально-экономического развития Кыргызской Республики на 2017-2019 годы</w:t>
      </w:r>
    </w:p>
    <w:p>
      <w:pPr>
        <w:spacing w:after="400" w:before="400"/>
        <w:jc w:val="center"/>
      </w:pPr>
      <w:r>
        <w:rPr>
          <w:rFonts w:ascii="Arial" w:cs="Arial" w:eastAsia="Arial" w:hAnsi="Arial"/>
          <w:b/>
          <w:bCs/>
          <w:sz w:val="32"/>
          <w:szCs w:val="32"/>
        </w:rPr>
        <w:t xml:space="preserve">СТРУКТУРА
 производства и конечного использования ВВП на 2017-2019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412"/>
        <w:gridCol w:w="1087"/>
        <w:gridCol w:w="869"/>
        <w:gridCol w:w="937"/>
        <w:gridCol w:w="937"/>
        <w:gridCol w:w="937"/>
      </w:tblGrid>
      <w:tr>
        <w:tc>
          <w:tcPr>
            <w:tcW w:type="dxa" w:w="541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08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год</w:t>
            </w:r>
          </w:p>
        </w:tc>
        <w:tc>
          <w:tcPr>
            <w:tcW w:type="dxa" w:w="86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год</w:t>
            </w:r>
          </w:p>
        </w:tc>
        <w:tc>
          <w:tcPr>
            <w:tcW w:type="dxa" w:w="93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год</w:t>
            </w:r>
          </w:p>
        </w:tc>
        <w:tc>
          <w:tcPr>
            <w:tcW w:type="dxa" w:w="93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w:t>
            </w:r>
          </w:p>
        </w:tc>
        <w:tc>
          <w:tcPr>
            <w:tcW w:type="dxa" w:w="93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год</w:t>
            </w:r>
          </w:p>
        </w:tc>
      </w:tr>
      <w:tr>
        <w:tc>
          <w:tcPr>
            <w:vMerge w:val="continue"/>
            <w:tcBorders>
              <w:top w:val="single" w:color="CBBF9E" w:sz="4"/>
              <w:left w:val="single" w:color="CBBF9E" w:sz="4"/>
              <w:bottom w:val="single" w:color="CBBF9E" w:sz="4"/>
              <w:right w:val="single" w:color="CBBF9E" w:sz="4"/>
            </w:tcBorders>
          </w:tcP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предв. факт</w:t>
            </w:r>
          </w:p>
        </w:tc>
        <w:tc>
          <w:tcPr>
            <w:tcW w:type="dxa" w:w="86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r>
      <w:tr>
        <w:tc>
          <w:tcPr>
            <w:tcW w:type="dxa" w:w="10179"/>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Национальные счета (% от ВВП)</w:t>
            </w:r>
          </w:p>
        </w:tc>
      </w:tr>
      <w:tr>
        <w:tc>
          <w:tcPr>
            <w:tcW w:type="dxa" w:w="10179"/>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 Производство ВВП</w:t>
            </w:r>
          </w:p>
        </w:tc>
      </w:tr>
      <w:tr>
        <w:tc>
          <w:tcPr>
            <w:tcW w:type="dxa" w:w="54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 лесное хозяйство и рыболовство</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w:t>
            </w:r>
          </w:p>
        </w:tc>
        <w:tc>
          <w:tcPr>
            <w:tcW w:type="dxa" w:w="8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13,8</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w:t>
            </w:r>
          </w:p>
        </w:tc>
      </w:tr>
      <w:tr>
        <w:tc>
          <w:tcPr>
            <w:tcW w:type="dxa" w:w="54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15,3</w:t>
            </w:r>
          </w:p>
        </w:tc>
        <w:tc>
          <w:tcPr>
            <w:tcW w:type="dxa" w:w="8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14,7</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13,8</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w:t>
            </w:r>
          </w:p>
        </w:tc>
      </w:tr>
      <w:tr>
        <w:tc>
          <w:tcPr>
            <w:tcW w:type="dxa" w:w="54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Справка:</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4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 без учета предприятий по разработке месторождения Кумтор</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w:t>
            </w:r>
          </w:p>
        </w:tc>
        <w:tc>
          <w:tcPr>
            <w:tcW w:type="dxa" w:w="8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w:t>
            </w:r>
          </w:p>
        </w:tc>
      </w:tr>
      <w:tr>
        <w:tc>
          <w:tcPr>
            <w:tcW w:type="dxa" w:w="54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w:t>
            </w:r>
          </w:p>
        </w:tc>
        <w:tc>
          <w:tcPr>
            <w:tcW w:type="dxa" w:w="8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w:t>
            </w:r>
          </w:p>
        </w:tc>
      </w:tr>
      <w:tr>
        <w:tc>
          <w:tcPr>
            <w:tcW w:type="dxa" w:w="54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Сфера услуг</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50,3</w:t>
            </w:r>
          </w:p>
        </w:tc>
        <w:tc>
          <w:tcPr>
            <w:tcW w:type="dxa" w:w="8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50,6</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51,4</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51,9</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51,4</w:t>
            </w:r>
          </w:p>
        </w:tc>
      </w:tr>
      <w:tr>
        <w:tc>
          <w:tcPr>
            <w:tcW w:type="dxa" w:w="54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Чистые налоги на продукты и импорт</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8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w:t>
            </w:r>
          </w:p>
        </w:tc>
      </w:tr>
      <w:tr>
        <w:tc>
          <w:tcPr>
            <w:tcW w:type="dxa" w:w="10179"/>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 Использование ВВП(4)</w:t>
            </w:r>
          </w:p>
        </w:tc>
      </w:tr>
      <w:tr>
        <w:tc>
          <w:tcPr>
            <w:tcW w:type="dxa" w:w="54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Потребление</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111,8</w:t>
            </w:r>
          </w:p>
        </w:tc>
        <w:tc>
          <w:tcPr>
            <w:tcW w:type="dxa" w:w="8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112,0</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111,0</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110,4</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108,3</w:t>
            </w:r>
          </w:p>
        </w:tc>
      </w:tr>
      <w:tr>
        <w:tc>
          <w:tcPr>
            <w:tcW w:type="dxa" w:w="54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Государственное</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17,3</w:t>
            </w:r>
          </w:p>
        </w:tc>
        <w:tc>
          <w:tcPr>
            <w:tcW w:type="dxa" w:w="8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17,1</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16,4</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15,8</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15,1</w:t>
            </w:r>
          </w:p>
        </w:tc>
      </w:tr>
      <w:tr>
        <w:tc>
          <w:tcPr>
            <w:tcW w:type="dxa" w:w="54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Частное</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94,5</w:t>
            </w:r>
          </w:p>
        </w:tc>
        <w:tc>
          <w:tcPr>
            <w:tcW w:type="dxa" w:w="8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95,0</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94,6</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94,6</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93,3</w:t>
            </w:r>
          </w:p>
        </w:tc>
      </w:tr>
      <w:tr>
        <w:tc>
          <w:tcPr>
            <w:tcW w:type="dxa" w:w="54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Валовые инвестиции(*)</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36,9</w:t>
            </w:r>
          </w:p>
        </w:tc>
        <w:tc>
          <w:tcPr>
            <w:tcW w:type="dxa" w:w="8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37,2</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37,4</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37,7</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37,9</w:t>
            </w:r>
          </w:p>
        </w:tc>
      </w:tr>
      <w:tr>
        <w:tc>
          <w:tcPr>
            <w:tcW w:type="dxa" w:w="54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Государственные инвестиции</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w:t>
            </w:r>
          </w:p>
        </w:tc>
        <w:tc>
          <w:tcPr>
            <w:tcW w:type="dxa" w:w="8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w:t>
            </w:r>
          </w:p>
        </w:tc>
      </w:tr>
      <w:tr>
        <w:tc>
          <w:tcPr>
            <w:tcW w:type="dxa" w:w="54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них: Программы государственных инвестиций (внешние)</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8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r>
      <w:tr>
        <w:tc>
          <w:tcPr>
            <w:tcW w:type="dxa" w:w="54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Частные инвестиции</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30,6</w:t>
            </w:r>
          </w:p>
        </w:tc>
        <w:tc>
          <w:tcPr>
            <w:tcW w:type="dxa" w:w="8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28,1</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29,3</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30,7</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31,1</w:t>
            </w:r>
          </w:p>
        </w:tc>
      </w:tr>
      <w:tr>
        <w:tc>
          <w:tcPr>
            <w:tcW w:type="dxa" w:w="54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Чистый экспорт товаров и услуг</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-48,6</w:t>
            </w:r>
          </w:p>
        </w:tc>
        <w:tc>
          <w:tcPr>
            <w:tcW w:type="dxa" w:w="8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-49,3</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-48,4</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-48,2</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-46,2</w:t>
            </w:r>
          </w:p>
        </w:tc>
      </w:tr>
      <w:tr>
        <w:tc>
          <w:tcPr>
            <w:tcW w:type="dxa" w:w="54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Экспорт товаров и услуг</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34,8</w:t>
            </w:r>
          </w:p>
        </w:tc>
        <w:tc>
          <w:tcPr>
            <w:tcW w:type="dxa" w:w="8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34,2</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33,5</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33,1</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32,7</w:t>
            </w:r>
          </w:p>
        </w:tc>
      </w:tr>
      <w:tr>
        <w:tc>
          <w:tcPr>
            <w:tcW w:type="dxa" w:w="54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Импорт товаров и услуг</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83,5</w:t>
            </w:r>
          </w:p>
        </w:tc>
        <w:tc>
          <w:tcPr>
            <w:tcW w:type="dxa" w:w="8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83,5</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81,9</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81,3</w:t>
            </w:r>
          </w:p>
        </w:tc>
        <w:tc>
          <w:tcPr>
            <w:tcW w:type="dxa" w:w="9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78,9</w:t>
            </w:r>
          </w:p>
        </w:tc>
      </w:tr>
      <w:tr>
        <w:tc>
          <w:tcPr>
            <w:tcW w:type="dxa" w:w="54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По методике Международного валютного фонда</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
 к Среднесрочному прогнозу социально-экономического развития Кыргызской Республики на 2017-2019 годы</w:t>
      </w:r>
    </w:p>
    <w:p>
      <w:pPr>
        <w:spacing w:after="400" w:before="400"/>
        <w:jc w:val="center"/>
      </w:pPr>
      <w:r>
        <w:rPr>
          <w:rFonts w:ascii="Arial" w:cs="Arial" w:eastAsia="Arial" w:hAnsi="Arial"/>
          <w:b/>
          <w:bCs/>
          <w:sz w:val="32"/>
          <w:szCs w:val="32"/>
        </w:rPr>
        <w:t xml:space="preserve">ВАЛОВАЯ ПРОДУКЦИЯ
 и темпы роста в секторах, формирующих ВВП на 2017-2019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979"/>
        <w:gridCol w:w="1103"/>
        <w:gridCol w:w="1024"/>
        <w:gridCol w:w="1024"/>
        <w:gridCol w:w="1024"/>
        <w:gridCol w:w="1024"/>
      </w:tblGrid>
      <w:tr>
        <w:tc>
          <w:tcPr>
            <w:tcW w:type="dxa" w:w="4979"/>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10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год</w:t>
            </w:r>
          </w:p>
        </w:tc>
        <w:tc>
          <w:tcPr>
            <w:tcW w:type="dxa" w:w="102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год</w:t>
            </w:r>
          </w:p>
        </w:tc>
        <w:tc>
          <w:tcPr>
            <w:tcW w:type="dxa" w:w="102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год</w:t>
            </w:r>
          </w:p>
        </w:tc>
        <w:tc>
          <w:tcPr>
            <w:tcW w:type="dxa" w:w="102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w:t>
            </w:r>
          </w:p>
        </w:tc>
        <w:tc>
          <w:tcPr>
            <w:tcW w:type="dxa" w:w="102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год</w:t>
            </w:r>
          </w:p>
        </w:tc>
      </w:tr>
      <w:tr>
        <w:tc>
          <w:tcPr>
            <w:vMerge w:val="continue"/>
            <w:tcBorders>
              <w:top w:val="single" w:color="CBBF9E" w:sz="4"/>
              <w:left w:val="single" w:color="CBBF9E" w:sz="4"/>
              <w:bottom w:val="single" w:color="CBBF9E" w:sz="4"/>
              <w:right w:val="single" w:color="CBBF9E" w:sz="4"/>
            </w:tcBorders>
          </w:tcP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предв. факт</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r>
      <w:tr>
        <w:tc>
          <w:tcPr>
            <w:tcW w:type="dxa" w:w="49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 лесное хозяйство и рыболовство, млн. сомов</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197065,8</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210823,0</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228801,9</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249159,6</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271988,8</w:t>
            </w:r>
          </w:p>
        </w:tc>
      </w:tr>
      <w:tr>
        <w:tc>
          <w:tcPr>
            <w:tcW w:type="dxa" w:w="49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r>
      <w:tr>
        <w:tc>
          <w:tcPr>
            <w:tcW w:type="dxa" w:w="49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94,8</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106,4</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r>
      <w:tr>
        <w:tc>
          <w:tcPr>
            <w:tcW w:type="dxa" w:w="49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Промышленность(5), млн. сомов</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174341,8</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182492,9</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188124,1</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198543,3</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225760,3</w:t>
            </w:r>
          </w:p>
        </w:tc>
      </w:tr>
      <w:tr>
        <w:tc>
          <w:tcPr>
            <w:tcW w:type="dxa" w:w="49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95,0</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99,8</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110,3</w:t>
            </w:r>
          </w:p>
        </w:tc>
      </w:tr>
      <w:tr>
        <w:tc>
          <w:tcPr>
            <w:tcW w:type="dxa" w:w="49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r>
      <w:tr>
        <w:tc>
          <w:tcPr>
            <w:tcW w:type="dxa" w:w="49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Промышленность(6), млн. сомов</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175164,0</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184546,5</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191698,5</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203257,7</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231215,4</w:t>
            </w:r>
          </w:p>
        </w:tc>
      </w:tr>
      <w:tr>
        <w:tc>
          <w:tcPr>
            <w:tcW w:type="dxa" w:w="49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95,6</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109,9</w:t>
            </w:r>
          </w:p>
        </w:tc>
      </w:tr>
      <w:tr>
        <w:tc>
          <w:tcPr>
            <w:tcW w:type="dxa" w:w="49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106,7</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r>
      <w:tr>
        <w:tc>
          <w:tcPr>
            <w:tcW w:type="dxa" w:w="49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9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Добыча полезных ископаемых, млн. сомов</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7993,4</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9606,0</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10429,3</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11914,1</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14477,9</w:t>
            </w:r>
          </w:p>
        </w:tc>
      </w:tr>
      <w:tr>
        <w:tc>
          <w:tcPr>
            <w:tcW w:type="dxa" w:w="49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163,8</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117,6</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112,0</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119,2</w:t>
            </w:r>
          </w:p>
        </w:tc>
      </w:tr>
      <w:tr>
        <w:tc>
          <w:tcPr>
            <w:tcW w:type="dxa" w:w="49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83,7</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r>
      <w:tr>
        <w:tc>
          <w:tcPr>
            <w:tcW w:type="dxa" w:w="49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Обрабатывающие производства, млн. сомов</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134834,6</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138478,0</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139630,9</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144443,6</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164332,2</w:t>
            </w:r>
          </w:p>
        </w:tc>
      </w:tr>
      <w:tr>
        <w:tc>
          <w:tcPr>
            <w:tcW w:type="dxa" w:w="49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92,2</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98,7</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111,2</w:t>
            </w:r>
          </w:p>
        </w:tc>
      </w:tr>
      <w:tr>
        <w:tc>
          <w:tcPr>
            <w:tcW w:type="dxa" w:w="49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r>
      <w:tr>
        <w:tc>
          <w:tcPr>
            <w:tcW w:type="dxa" w:w="49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Обеспечение (снабжение) электроэнергией, газом, паром и кондиционированным воздухом, млн. сомов</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30745,7</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34724,2</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39722,4</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44855,2</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50204,3</w:t>
            </w:r>
          </w:p>
        </w:tc>
      </w:tr>
      <w:tr>
        <w:tc>
          <w:tcPr>
            <w:tcW w:type="dxa" w:w="49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97,2</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r>
      <w:tr>
        <w:tc>
          <w:tcPr>
            <w:tcW w:type="dxa" w:w="49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135,8</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110,8</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109,8</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108,5</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107,9</w:t>
            </w:r>
          </w:p>
        </w:tc>
      </w:tr>
      <w:tr>
        <w:tc>
          <w:tcPr>
            <w:tcW w:type="dxa" w:w="49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Водоснабжение, очистка, обработка отходов и получение вторичного сырья, млн. сомов</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1590,3</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1738,3</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1915,9</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2044,8</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2201,1</w:t>
            </w:r>
          </w:p>
        </w:tc>
      </w:tr>
      <w:tr>
        <w:tc>
          <w:tcPr>
            <w:tcW w:type="dxa" w:w="49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r>
      <w:tr>
        <w:tc>
          <w:tcPr>
            <w:tcW w:type="dxa" w:w="49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r>
      <w:tr>
        <w:tc>
          <w:tcPr>
            <w:tcW w:type="dxa" w:w="49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Справка:</w:t>
            </w:r>
          </w:p>
        </w:tc>
        <w:tc>
          <w:tcPr>
            <w:tcW w:type="dxa" w:w="1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9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 без учета предприятий по разработке месторождения Кумтор, млн. сомов</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96345,4</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106566,9</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120781,6</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136517,1</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159313,2</w:t>
            </w:r>
          </w:p>
        </w:tc>
      </w:tr>
      <w:tr>
        <w:tc>
          <w:tcPr>
            <w:tcW w:type="dxa" w:w="49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99,4</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106,8</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r>
      <w:tr>
        <w:tc>
          <w:tcPr>
            <w:tcW w:type="dxa" w:w="49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105,7</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112,1</w:t>
            </w:r>
          </w:p>
        </w:tc>
      </w:tr>
      <w:tr>
        <w:tc>
          <w:tcPr>
            <w:tcW w:type="dxa" w:w="49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Строительство, млн. сомов</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116117,2</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133008,1</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155766,3</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183278,1</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217721,5</w:t>
            </w:r>
          </w:p>
        </w:tc>
      </w:tr>
      <w:tr>
        <w:tc>
          <w:tcPr>
            <w:tcW w:type="dxa" w:w="49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113,9</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109,3</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110,9</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111,7</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112,6</w:t>
            </w:r>
          </w:p>
        </w:tc>
      </w:tr>
      <w:tr>
        <w:tc>
          <w:tcPr>
            <w:tcW w:type="dxa" w:w="49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r>
      <w:tr>
        <w:tc>
          <w:tcPr>
            <w:tcW w:type="dxa" w:w="49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Сфера услуг, млн. сомов</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372326,6</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407274,1</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457319,5</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511386,1</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567059,0</w:t>
            </w:r>
          </w:p>
        </w:tc>
      </w:tr>
      <w:tr>
        <w:tc>
          <w:tcPr>
            <w:tcW w:type="dxa" w:w="49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r>
      <w:tr>
        <w:tc>
          <w:tcPr>
            <w:tcW w:type="dxa" w:w="49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106,7</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106,3</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107,7</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106,7</w:t>
            </w:r>
          </w:p>
        </w:tc>
      </w:tr>
      <w:tr>
        <w:tc>
          <w:tcPr>
            <w:tcW w:type="dxa" w:w="49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9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Оптовая и розничная торговля; ремонт автомобилей и мотоциклов, млн. сомов</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128089,2</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143019,1</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165967,3</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190507,6</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215277,8</w:t>
            </w:r>
          </w:p>
        </w:tc>
      </w:tr>
      <w:tr>
        <w:tc>
          <w:tcPr>
            <w:tcW w:type="dxa" w:w="49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106,6</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107,5</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107,8</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r>
      <w:tr>
        <w:tc>
          <w:tcPr>
            <w:tcW w:type="dxa" w:w="49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107,9</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106,6</w:t>
            </w:r>
          </w:p>
        </w:tc>
      </w:tr>
      <w:tr>
        <w:tc>
          <w:tcPr>
            <w:tcW w:type="dxa" w:w="49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Транспортная деятельность и хранение грузов, млн. сомов</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40460,0</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44446,9</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51106,6</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58485,3</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66086,3</w:t>
            </w:r>
          </w:p>
        </w:tc>
      </w:tr>
      <w:tr>
        <w:tc>
          <w:tcPr>
            <w:tcW w:type="dxa" w:w="49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107,2</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w:t>
            </w:r>
          </w:p>
        </w:tc>
      </w:tr>
      <w:tr>
        <w:tc>
          <w:tcPr>
            <w:tcW w:type="dxa" w:w="49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107,7</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108,2</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106,7</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r>
      <w:tr>
        <w:tc>
          <w:tcPr>
            <w:tcW w:type="dxa" w:w="49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Гостиницы и рестораны, млн. сомов</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20448,7</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23324,1</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27169,1</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31845,6</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36698,8</w:t>
            </w:r>
          </w:p>
        </w:tc>
      </w:tr>
      <w:tr>
        <w:tc>
          <w:tcPr>
            <w:tcW w:type="dxa" w:w="49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108,9</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107,1</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107,3</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109,3</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107,5</w:t>
            </w:r>
          </w:p>
        </w:tc>
      </w:tr>
      <w:tr>
        <w:tc>
          <w:tcPr>
            <w:tcW w:type="dxa" w:w="49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108,5</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107,2</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107,2</w:t>
            </w:r>
          </w:p>
        </w:tc>
      </w:tr>
      <w:tr>
        <w:tc>
          <w:tcPr>
            <w:tcW w:type="dxa" w:w="49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Информация и связь, млн. сомов</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32195,5</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33918,6</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35002,3</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35932,3</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36690,9</w:t>
            </w:r>
          </w:p>
        </w:tc>
      </w:tr>
      <w:tr>
        <w:tc>
          <w:tcPr>
            <w:tcW w:type="dxa" w:w="49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r>
      <w:tr>
        <w:tc>
          <w:tcPr>
            <w:tcW w:type="dxa" w:w="49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4
 к Среднесрочному прогнозу социально-экономического развития Кыргызской Республики на 2017-2019 годы</w:t>
      </w:r>
    </w:p>
    <w:p>
      <w:pPr>
        <w:spacing w:after="400" w:before="400"/>
        <w:jc w:val="center"/>
      </w:pPr>
      <w:r>
        <w:rPr>
          <w:rFonts w:ascii="Arial" w:cs="Arial" w:eastAsia="Arial" w:hAnsi="Arial"/>
          <w:b/>
          <w:bCs/>
          <w:sz w:val="32"/>
          <w:szCs w:val="32"/>
        </w:rPr>
        <w:t xml:space="preserve">СРЕДНЕСРОЧНЫЙ ПРОГНОЗ
 развития сельского хозяйства, лесного хозяйства и рыболовства Кыргызской Республики на 2017-2019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971"/>
        <w:gridCol w:w="1186"/>
        <w:gridCol w:w="1005"/>
        <w:gridCol w:w="1005"/>
        <w:gridCol w:w="1005"/>
        <w:gridCol w:w="1005"/>
      </w:tblGrid>
      <w:tr>
        <w:tc>
          <w:tcPr>
            <w:tcW w:type="dxa" w:w="4971"/>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18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год</w:t>
            </w:r>
          </w:p>
        </w:tc>
        <w:tc>
          <w:tcPr>
            <w:tcW w:type="dxa" w:w="100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год</w:t>
            </w:r>
          </w:p>
        </w:tc>
        <w:tc>
          <w:tcPr>
            <w:tcW w:type="dxa" w:w="100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год</w:t>
            </w:r>
          </w:p>
        </w:tc>
        <w:tc>
          <w:tcPr>
            <w:tcW w:type="dxa" w:w="100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w:t>
            </w:r>
          </w:p>
        </w:tc>
        <w:tc>
          <w:tcPr>
            <w:tcW w:type="dxa" w:w="100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год</w:t>
            </w:r>
          </w:p>
        </w:tc>
      </w:tr>
      <w:tr>
        <w:tc>
          <w:tcPr>
            <w:vMerge w:val="continue"/>
            <w:tcBorders>
              <w:top w:val="single" w:color="CBBF9E" w:sz="4"/>
              <w:left w:val="single" w:color="CBBF9E" w:sz="4"/>
              <w:bottom w:val="single" w:color="CBBF9E" w:sz="4"/>
              <w:right w:val="single" w:color="CBBF9E" w:sz="4"/>
            </w:tcBorders>
          </w:tcPr>
          <w:p/>
        </w:tc>
        <w:tc>
          <w:tcPr>
            <w:tcW w:type="dxa" w:w="118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предв. факт</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r>
      <w:tr>
        <w:tc>
          <w:tcPr>
            <w:tcW w:type="dxa" w:w="49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 лесное хозяйство и рыболовство, млн. сомов</w:t>
            </w:r>
          </w:p>
        </w:tc>
        <w:tc>
          <w:tcPr>
            <w:tcW w:type="dxa" w:w="11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197065,8</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210823,0</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228801,9</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249159,6</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271988,8</w:t>
            </w:r>
          </w:p>
        </w:tc>
      </w:tr>
      <w:tr>
        <w:tc>
          <w:tcPr>
            <w:tcW w:type="dxa" w:w="49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r>
      <w:tr>
        <w:tc>
          <w:tcPr>
            <w:tcW w:type="dxa" w:w="49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94,8</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106,4</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r>
      <w:tr>
        <w:tc>
          <w:tcPr>
            <w:tcW w:type="dxa" w:w="49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Растениеводство, млн. сомов</w:t>
            </w:r>
          </w:p>
        </w:tc>
        <w:tc>
          <w:tcPr>
            <w:tcW w:type="dxa" w:w="11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99145,7</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103543,8</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109857,6</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114506,0</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123364,5</w:t>
            </w:r>
          </w:p>
        </w:tc>
      </w:tr>
      <w:tr>
        <w:tc>
          <w:tcPr>
            <w:tcW w:type="dxa" w:w="49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110,1</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r>
      <w:tr>
        <w:tc>
          <w:tcPr>
            <w:tcW w:type="dxa" w:w="49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91,7</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r>
      <w:tr>
        <w:tc>
          <w:tcPr>
            <w:tcW w:type="dxa" w:w="49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9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Зерновые культуры(7) (в весе после доработки), млн. сомов</w:t>
            </w:r>
          </w:p>
        </w:tc>
        <w:tc>
          <w:tcPr>
            <w:tcW w:type="dxa" w:w="11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26990,9</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23270,7</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24590,5</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24688,6</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25681,7</w:t>
            </w:r>
          </w:p>
        </w:tc>
      </w:tr>
      <w:tr>
        <w:tc>
          <w:tcPr>
            <w:tcW w:type="dxa" w:w="49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92,3</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87,9</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99,7</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100,9</w:t>
            </w:r>
          </w:p>
        </w:tc>
      </w:tr>
      <w:tr>
        <w:tc>
          <w:tcPr>
            <w:tcW w:type="dxa" w:w="49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120,2</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98,1</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r>
      <w:tr>
        <w:tc>
          <w:tcPr>
            <w:tcW w:type="dxa" w:w="49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Валовой сбор (в весе после доработки), тыс. т</w:t>
            </w:r>
          </w:p>
        </w:tc>
        <w:tc>
          <w:tcPr>
            <w:tcW w:type="dxa" w:w="11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1723,1</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1625,8</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1648,4</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1643,5</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1658,5</w:t>
            </w:r>
          </w:p>
        </w:tc>
      </w:tr>
      <w:tr>
        <w:tc>
          <w:tcPr>
            <w:tcW w:type="dxa" w:w="49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9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Сахарная свекла (фабричная), млн. сомов</w:t>
            </w:r>
          </w:p>
        </w:tc>
        <w:tc>
          <w:tcPr>
            <w:tcW w:type="dxa" w:w="11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587,1</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1078,0</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1191,9</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1410,0</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1578,9</w:t>
            </w:r>
          </w:p>
        </w:tc>
      </w:tr>
      <w:tr>
        <w:tc>
          <w:tcPr>
            <w:tcW w:type="dxa" w:w="49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192,6</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113,2</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116,9</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107,5</w:t>
            </w:r>
          </w:p>
        </w:tc>
      </w:tr>
      <w:tr>
        <w:tc>
          <w:tcPr>
            <w:tcW w:type="dxa" w:w="49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110,5</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95,3</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97,7</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r>
      <w:tr>
        <w:tc>
          <w:tcPr>
            <w:tcW w:type="dxa" w:w="49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Валовой сбор, тыс. т</w:t>
            </w:r>
          </w:p>
        </w:tc>
        <w:tc>
          <w:tcPr>
            <w:tcW w:type="dxa" w:w="11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183,2</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352,9</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399,3</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466,7</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501,6</w:t>
            </w:r>
          </w:p>
        </w:tc>
      </w:tr>
      <w:tr>
        <w:tc>
          <w:tcPr>
            <w:tcW w:type="dxa" w:w="49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Хлопок (в зачетном весе), млн. сомов</w:t>
            </w:r>
          </w:p>
        </w:tc>
        <w:tc>
          <w:tcPr>
            <w:tcW w:type="dxa" w:w="11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1716,3</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1972,8</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2091,3</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2340,9</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2563,6</w:t>
            </w:r>
          </w:p>
        </w:tc>
      </w:tr>
      <w:tr>
        <w:tc>
          <w:tcPr>
            <w:tcW w:type="dxa" w:w="49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64,0</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121,7</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111,4</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107,3</w:t>
            </w:r>
          </w:p>
        </w:tc>
      </w:tr>
      <w:tr>
        <w:tc>
          <w:tcPr>
            <w:tcW w:type="dxa" w:w="49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112,7</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94,4</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r>
      <w:tr>
        <w:tc>
          <w:tcPr>
            <w:tcW w:type="dxa" w:w="49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Валовой сбор, тыс. т</w:t>
            </w:r>
          </w:p>
        </w:tc>
        <w:tc>
          <w:tcPr>
            <w:tcW w:type="dxa" w:w="11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44,1</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53,7</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56,7</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63,0</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68,0</w:t>
            </w:r>
          </w:p>
        </w:tc>
      </w:tr>
      <w:tr>
        <w:tc>
          <w:tcPr>
            <w:tcW w:type="dxa" w:w="49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Табак (в зачетном весе), млн. сомов</w:t>
            </w:r>
          </w:p>
        </w:tc>
        <w:tc>
          <w:tcPr>
            <w:tcW w:type="dxa" w:w="11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76,6</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173,6</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189,5</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206,6</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225,9</w:t>
            </w:r>
          </w:p>
        </w:tc>
      </w:tr>
      <w:tr>
        <w:tc>
          <w:tcPr>
            <w:tcW w:type="dxa" w:w="49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30,3</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227,3</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108,6</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108,5</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107,9</w:t>
            </w:r>
          </w:p>
        </w:tc>
      </w:tr>
      <w:tr>
        <w:tc>
          <w:tcPr>
            <w:tcW w:type="dxa" w:w="49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110,8</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99,7</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r>
      <w:tr>
        <w:tc>
          <w:tcPr>
            <w:tcW w:type="dxa" w:w="49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Валовой сбор, тыс. т</w:t>
            </w:r>
          </w:p>
        </w:tc>
        <w:tc>
          <w:tcPr>
            <w:tcW w:type="dxa" w:w="11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w:t>
            </w:r>
          </w:p>
        </w:tc>
      </w:tr>
      <w:tr>
        <w:tc>
          <w:tcPr>
            <w:tcW w:type="dxa" w:w="49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Масличные культуры, млн. сомов</w:t>
            </w:r>
          </w:p>
        </w:tc>
        <w:tc>
          <w:tcPr>
            <w:tcW w:type="dxa" w:w="11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1415,2</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1389,7</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1434,3</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1571,5</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1722,7</w:t>
            </w:r>
          </w:p>
        </w:tc>
      </w:tr>
      <w:tr>
        <w:tc>
          <w:tcPr>
            <w:tcW w:type="dxa" w:w="49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107,2</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93,1</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108,6</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107,6</w:t>
            </w:r>
          </w:p>
        </w:tc>
      </w:tr>
      <w:tr>
        <w:tc>
          <w:tcPr>
            <w:tcW w:type="dxa" w:w="49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120,9</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100,9</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r>
      <w:tr>
        <w:tc>
          <w:tcPr>
            <w:tcW w:type="dxa" w:w="49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Валовой сбор, тыс. т</w:t>
            </w:r>
          </w:p>
        </w:tc>
        <w:tc>
          <w:tcPr>
            <w:tcW w:type="dxa" w:w="11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49,0</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45,6</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45,9</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49,8</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53,6</w:t>
            </w:r>
          </w:p>
        </w:tc>
      </w:tr>
      <w:tr>
        <w:tc>
          <w:tcPr>
            <w:tcW w:type="dxa" w:w="49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Картофель, млн. сомов</w:t>
            </w:r>
          </w:p>
        </w:tc>
        <w:tc>
          <w:tcPr>
            <w:tcW w:type="dxa" w:w="11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14737,8</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17206,8</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19655,8</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20077,6</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21036,1</w:t>
            </w:r>
          </w:p>
        </w:tc>
      </w:tr>
      <w:tr>
        <w:tc>
          <w:tcPr>
            <w:tcW w:type="dxa" w:w="49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107,2</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100,8</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r>
      <w:tr>
        <w:tc>
          <w:tcPr>
            <w:tcW w:type="dxa" w:w="49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59,9</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115,4</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113,4</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r>
      <w:tr>
        <w:tc>
          <w:tcPr>
            <w:tcW w:type="dxa" w:w="49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Валовой сбор, тыс. т</w:t>
            </w:r>
          </w:p>
        </w:tc>
        <w:tc>
          <w:tcPr>
            <w:tcW w:type="dxa" w:w="11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1416,4</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1432,6</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1443,8</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1446,5</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1463,4</w:t>
            </w:r>
          </w:p>
        </w:tc>
      </w:tr>
      <w:tr>
        <w:tc>
          <w:tcPr>
            <w:tcW w:type="dxa" w:w="49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Овощи, млн. сомов</w:t>
            </w:r>
          </w:p>
        </w:tc>
        <w:tc>
          <w:tcPr>
            <w:tcW w:type="dxa" w:w="11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29275,6</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31087,3</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32670,2</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34063,0</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36342,4</w:t>
            </w:r>
          </w:p>
        </w:tc>
      </w:tr>
      <w:tr>
        <w:tc>
          <w:tcPr>
            <w:tcW w:type="dxa" w:w="49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115,6</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r>
      <w:tr>
        <w:tc>
          <w:tcPr>
            <w:tcW w:type="dxa" w:w="49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123,2</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r>
      <w:tr>
        <w:tc>
          <w:tcPr>
            <w:tcW w:type="dxa" w:w="49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Валовой сбор, тыс. т</w:t>
            </w:r>
          </w:p>
        </w:tc>
        <w:tc>
          <w:tcPr>
            <w:tcW w:type="dxa" w:w="11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1052,1</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1064,9</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1086,8</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1110,3</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1154,9</w:t>
            </w:r>
          </w:p>
        </w:tc>
      </w:tr>
      <w:tr>
        <w:tc>
          <w:tcPr>
            <w:tcW w:type="dxa" w:w="49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Бахчи продовольственные, млн. сомов</w:t>
            </w:r>
          </w:p>
        </w:tc>
        <w:tc>
          <w:tcPr>
            <w:tcW w:type="dxa" w:w="11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2290,6</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2250,0</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2259,8</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2389,4</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2508,7</w:t>
            </w:r>
          </w:p>
        </w:tc>
      </w:tr>
      <w:tr>
        <w:tc>
          <w:tcPr>
            <w:tcW w:type="dxa" w:w="49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124,1</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94,7</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r>
      <w:tr>
        <w:tc>
          <w:tcPr>
            <w:tcW w:type="dxa" w:w="49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98,5</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96,4</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r>
      <w:tr>
        <w:tc>
          <w:tcPr>
            <w:tcW w:type="dxa" w:w="49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Валовой сбор, тыс. т</w:t>
            </w:r>
          </w:p>
        </w:tc>
        <w:tc>
          <w:tcPr>
            <w:tcW w:type="dxa" w:w="11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248,6</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235,5</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245,3</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250,4</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251,8</w:t>
            </w:r>
          </w:p>
        </w:tc>
      </w:tr>
      <w:tr>
        <w:tc>
          <w:tcPr>
            <w:tcW w:type="dxa" w:w="49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Плоды и ягоды, млн. сомов</w:t>
            </w:r>
          </w:p>
        </w:tc>
        <w:tc>
          <w:tcPr>
            <w:tcW w:type="dxa" w:w="11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8006,3</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9722,3</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10341,7</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11198,7</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11858,4</w:t>
            </w:r>
          </w:p>
        </w:tc>
      </w:tr>
      <w:tr>
        <w:tc>
          <w:tcPr>
            <w:tcW w:type="dxa" w:w="49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86,9</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114,8</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w:t>
            </w:r>
          </w:p>
        </w:tc>
      </w:tr>
      <w:tr>
        <w:tc>
          <w:tcPr>
            <w:tcW w:type="dxa" w:w="49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105,7</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w:t>
            </w:r>
          </w:p>
        </w:tc>
      </w:tr>
      <w:tr>
        <w:tc>
          <w:tcPr>
            <w:tcW w:type="dxa" w:w="49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Валовой сбор, тыс. т</w:t>
            </w:r>
          </w:p>
        </w:tc>
        <w:tc>
          <w:tcPr>
            <w:tcW w:type="dxa" w:w="11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209,2</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240,3</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243,5</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248,5</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249,7</w:t>
            </w:r>
          </w:p>
        </w:tc>
      </w:tr>
      <w:tr>
        <w:tc>
          <w:tcPr>
            <w:tcW w:type="dxa" w:w="49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Виноград, млн. сомов</w:t>
            </w:r>
          </w:p>
        </w:tc>
        <w:tc>
          <w:tcPr>
            <w:tcW w:type="dxa" w:w="11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365,5</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709,4</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749,4</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769,6</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792,9</w:t>
            </w:r>
          </w:p>
        </w:tc>
      </w:tr>
      <w:tr>
        <w:tc>
          <w:tcPr>
            <w:tcW w:type="dxa" w:w="49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57,8</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180,3</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r>
      <w:tr>
        <w:tc>
          <w:tcPr>
            <w:tcW w:type="dxa" w:w="49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93,7</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107,7</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100,9</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r>
      <w:tr>
        <w:tc>
          <w:tcPr>
            <w:tcW w:type="dxa" w:w="49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Валовой сбор, тыс. т</w:t>
            </w:r>
          </w:p>
        </w:tc>
        <w:tc>
          <w:tcPr>
            <w:tcW w:type="dxa" w:w="11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w:t>
            </w:r>
          </w:p>
        </w:tc>
      </w:tr>
      <w:tr>
        <w:tc>
          <w:tcPr>
            <w:tcW w:type="dxa" w:w="49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Прочее растениеводство</w:t>
            </w:r>
          </w:p>
        </w:tc>
        <w:tc>
          <w:tcPr>
            <w:tcW w:type="dxa" w:w="11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13684,0</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14683,2</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14683,2</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15790,0</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17053,2</w:t>
            </w:r>
          </w:p>
        </w:tc>
      </w:tr>
      <w:tr>
        <w:tc>
          <w:tcPr>
            <w:tcW w:type="dxa" w:w="49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107,3</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106,7</w:t>
            </w:r>
          </w:p>
        </w:tc>
      </w:tr>
      <w:tr>
        <w:tc>
          <w:tcPr>
            <w:tcW w:type="dxa" w:w="49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49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Животноводство, млн. сомов</w:t>
            </w:r>
          </w:p>
        </w:tc>
        <w:tc>
          <w:tcPr>
            <w:tcW w:type="dxa" w:w="11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93575,6</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102934,6</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114517,2</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130152,4</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146123,0</w:t>
            </w:r>
          </w:p>
        </w:tc>
      </w:tr>
      <w:tr>
        <w:tc>
          <w:tcPr>
            <w:tcW w:type="dxa" w:w="49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r>
      <w:tr>
        <w:tc>
          <w:tcPr>
            <w:tcW w:type="dxa" w:w="49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98,1</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107,3</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108,5</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110,4</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108,5</w:t>
            </w:r>
          </w:p>
        </w:tc>
      </w:tr>
      <w:tr>
        <w:tc>
          <w:tcPr>
            <w:tcW w:type="dxa" w:w="49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9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Скот и птица на убой (в живом весе), млн. сомов</w:t>
            </w:r>
          </w:p>
        </w:tc>
        <w:tc>
          <w:tcPr>
            <w:tcW w:type="dxa" w:w="11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59180,5</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62772,9</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66821,6</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70669,2</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79096,8</w:t>
            </w:r>
          </w:p>
        </w:tc>
      </w:tr>
      <w:tr>
        <w:tc>
          <w:tcPr>
            <w:tcW w:type="dxa" w:w="49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r>
      <w:tr>
        <w:tc>
          <w:tcPr>
            <w:tcW w:type="dxa" w:w="49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w:t>
            </w:r>
          </w:p>
        </w:tc>
      </w:tr>
      <w:tr>
        <w:tc>
          <w:tcPr>
            <w:tcW w:type="dxa" w:w="49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Скот и птица на убой (в живом весе), тыс. т</w:t>
            </w:r>
          </w:p>
        </w:tc>
        <w:tc>
          <w:tcPr>
            <w:tcW w:type="dxa" w:w="11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380,3</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392,0</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403,0</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415,6</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423,0</w:t>
            </w:r>
          </w:p>
        </w:tc>
      </w:tr>
      <w:tr>
        <w:tc>
          <w:tcPr>
            <w:tcW w:type="dxa" w:w="49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Молоко сырое, млн. сомов</w:t>
            </w:r>
          </w:p>
        </w:tc>
        <w:tc>
          <w:tcPr>
            <w:tcW w:type="dxa" w:w="11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28935,1</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34305,8</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41647,6</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53192,6</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60260,8</w:t>
            </w:r>
          </w:p>
        </w:tc>
      </w:tr>
      <w:tr>
        <w:tc>
          <w:tcPr>
            <w:tcW w:type="dxa" w:w="49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r>
      <w:tr>
        <w:tc>
          <w:tcPr>
            <w:tcW w:type="dxa" w:w="49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89,8</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116,9</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118,8</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124,4</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110,5</w:t>
            </w:r>
          </w:p>
        </w:tc>
      </w:tr>
      <w:tr>
        <w:tc>
          <w:tcPr>
            <w:tcW w:type="dxa" w:w="49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Молоко сырое, тыс. т</w:t>
            </w:r>
          </w:p>
        </w:tc>
        <w:tc>
          <w:tcPr>
            <w:tcW w:type="dxa" w:w="11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1481,1</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1502,0</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1535,0</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1576,1</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1616,0</w:t>
            </w:r>
          </w:p>
        </w:tc>
      </w:tr>
      <w:tr>
        <w:tc>
          <w:tcPr>
            <w:tcW w:type="dxa" w:w="49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Яйца, млн. сомов</w:t>
            </w:r>
          </w:p>
        </w:tc>
        <w:tc>
          <w:tcPr>
            <w:tcW w:type="dxa" w:w="11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3052,9</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3440,7</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3615,3</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3809,5</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3970,3</w:t>
            </w:r>
          </w:p>
        </w:tc>
      </w:tr>
      <w:tr>
        <w:tc>
          <w:tcPr>
            <w:tcW w:type="dxa" w:w="49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97,1</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r>
      <w:tr>
        <w:tc>
          <w:tcPr>
            <w:tcW w:type="dxa" w:w="49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108,9</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r>
      <w:tr>
        <w:tc>
          <w:tcPr>
            <w:tcW w:type="dxa" w:w="49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Яйца, млн. шт.</w:t>
            </w:r>
          </w:p>
        </w:tc>
        <w:tc>
          <w:tcPr>
            <w:tcW w:type="dxa" w:w="11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432,9</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463,5</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475,0</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483,0</w:t>
            </w:r>
          </w:p>
        </w:tc>
      </w:tr>
      <w:tr>
        <w:tc>
          <w:tcPr>
            <w:tcW w:type="dxa" w:w="49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Шерсть, млн. сомов</w:t>
            </w:r>
          </w:p>
        </w:tc>
        <w:tc>
          <w:tcPr>
            <w:tcW w:type="dxa" w:w="11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143,2</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151,3</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168,9</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181,1</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195,2</w:t>
            </w:r>
          </w:p>
        </w:tc>
      </w:tr>
      <w:tr>
        <w:tc>
          <w:tcPr>
            <w:tcW w:type="dxa" w:w="49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r>
      <w:tr>
        <w:tc>
          <w:tcPr>
            <w:tcW w:type="dxa" w:w="49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35,1</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109,4</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w:t>
            </w:r>
          </w:p>
        </w:tc>
      </w:tr>
      <w:tr>
        <w:tc>
          <w:tcPr>
            <w:tcW w:type="dxa" w:w="49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Шерсть, тыс. т</w:t>
            </w:r>
          </w:p>
        </w:tc>
        <w:tc>
          <w:tcPr>
            <w:tcW w:type="dxa" w:w="11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w:t>
            </w:r>
          </w:p>
        </w:tc>
      </w:tr>
      <w:tr>
        <w:tc>
          <w:tcPr>
            <w:tcW w:type="dxa" w:w="49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Прочее животноводство</w:t>
            </w:r>
          </w:p>
        </w:tc>
        <w:tc>
          <w:tcPr>
            <w:tcW w:type="dxa" w:w="11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2263,8</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2263,8</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2263,8</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2300,0</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2600,0</w:t>
            </w:r>
          </w:p>
        </w:tc>
      </w:tr>
      <w:tr>
        <w:tc>
          <w:tcPr>
            <w:tcW w:type="dxa" w:w="49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98,3</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113,0</w:t>
            </w:r>
          </w:p>
        </w:tc>
      </w:tr>
      <w:tr>
        <w:tc>
          <w:tcPr>
            <w:tcW w:type="dxa" w:w="49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49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Услуги(8), млн. сомов</w:t>
            </w:r>
          </w:p>
        </w:tc>
        <w:tc>
          <w:tcPr>
            <w:tcW w:type="dxa" w:w="11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3998,3</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3998,3</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4076,3</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4150,0</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4150,0</w:t>
            </w:r>
          </w:p>
        </w:tc>
      </w:tr>
      <w:tr>
        <w:tc>
          <w:tcPr>
            <w:tcW w:type="dxa" w:w="49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97,1</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49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49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Охота, млн. сомов</w:t>
            </w:r>
          </w:p>
        </w:tc>
        <w:tc>
          <w:tcPr>
            <w:tcW w:type="dxa" w:w="11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16,7</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16,7</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16,7</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16,7</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16,7</w:t>
            </w:r>
          </w:p>
        </w:tc>
      </w:tr>
      <w:tr>
        <w:tc>
          <w:tcPr>
            <w:tcW w:type="dxa" w:w="49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49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49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Лесное хозяйство, млн. сомов</w:t>
            </w:r>
          </w:p>
        </w:tc>
        <w:tc>
          <w:tcPr>
            <w:tcW w:type="dxa" w:w="11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268,5</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268,5</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268,5</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268,5</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268,5</w:t>
            </w:r>
          </w:p>
        </w:tc>
      </w:tr>
      <w:tr>
        <w:tc>
          <w:tcPr>
            <w:tcW w:type="dxa" w:w="49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49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49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Рыбоводство, рыболовство, млн. сомов</w:t>
            </w:r>
          </w:p>
        </w:tc>
        <w:tc>
          <w:tcPr>
            <w:tcW w:type="dxa" w:w="11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61,0</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61,0</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65,5</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66,0</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66,0</w:t>
            </w:r>
          </w:p>
        </w:tc>
      </w:tr>
      <w:tr>
        <w:tc>
          <w:tcPr>
            <w:tcW w:type="dxa" w:w="49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1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107,4</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100,8</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49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5
 к Среднесрочному прогнозу социально-экономического развития Кыргызской Республики на 2017-2019 годы</w:t>
      </w:r>
    </w:p>
    <w:p>
      <w:pPr>
        <w:spacing w:after="400" w:before="400"/>
        <w:jc w:val="center"/>
      </w:pPr>
      <w:r>
        <w:rPr>
          <w:rFonts w:ascii="Arial" w:cs="Arial" w:eastAsia="Arial" w:hAnsi="Arial"/>
          <w:b/>
          <w:bCs/>
          <w:sz w:val="32"/>
          <w:szCs w:val="32"/>
        </w:rPr>
        <w:t xml:space="preserve">СРЕДНЕСРОЧНЫЙ ПРОГНОЗ
 развития промышленности Кыргызской Республики на 2017-2019 годы, без учета стоимости переработки давальческого сырья, с учетом покупной электроэнергии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02"/>
        <w:gridCol w:w="1091"/>
        <w:gridCol w:w="1021"/>
        <w:gridCol w:w="1021"/>
        <w:gridCol w:w="1021"/>
        <w:gridCol w:w="1021"/>
      </w:tblGrid>
      <w:tr>
        <w:tc>
          <w:tcPr>
            <w:tcW w:type="dxa" w:w="500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09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год</w:t>
            </w:r>
          </w:p>
        </w:tc>
        <w:tc>
          <w:tcPr>
            <w:tcW w:type="dxa" w:w="102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год</w:t>
            </w:r>
          </w:p>
        </w:tc>
        <w:tc>
          <w:tcPr>
            <w:tcW w:type="dxa" w:w="102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год</w:t>
            </w:r>
          </w:p>
        </w:tc>
        <w:tc>
          <w:tcPr>
            <w:tcW w:type="dxa" w:w="102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w:t>
            </w:r>
          </w:p>
        </w:tc>
        <w:tc>
          <w:tcPr>
            <w:tcW w:type="dxa" w:w="102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год</w:t>
            </w:r>
          </w:p>
        </w:tc>
      </w:tr>
      <w:tr>
        <w:tc>
          <w:tcPr>
            <w:vMerge w:val="continue"/>
            <w:tcBorders>
              <w:top w:val="single" w:color="CBBF9E" w:sz="4"/>
              <w:left w:val="single" w:color="CBBF9E" w:sz="4"/>
              <w:bottom w:val="single" w:color="CBBF9E" w:sz="4"/>
              <w:right w:val="single" w:color="CBBF9E" w:sz="4"/>
            </w:tcBorders>
          </w:tcP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предв. факт</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промышленности в действующих ценах, млн. сомов</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175164,0</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184546,5</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191698,5</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203257,7</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231215,4</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95,6</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109,9</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106,7</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 без учета предприятий по разработке месторождения Кумтор, млн. сомов</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96345,4</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106566,9</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120781,6</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136517,1</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159313,2</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99,4</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106,8</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105,7</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112,1</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 Добыча полезных ископаемых, млн. сомов</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7993,4</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9606,0</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10429,3</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11914,1</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14477,9</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163,8</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117,6</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112,0</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119,2</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83,7</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Добыча каменного угля и бурого угля (лигнита), млн. сомов</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2150,2</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2213,4</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2317,1</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2424,0</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2521,9</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100,9</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Добыча сырой нефти и природного газа, млн. сомов</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2299,2</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2057,7</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2094,8</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2094,8</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2136,7</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128,8</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89,5</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87,5</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Добыча металлических руд, млн. сомов</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2560,1</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4260,7</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4895,3</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6237,5</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8556,9</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475,5</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160,8</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110,5</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123,7</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134,5</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70,6</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Добыча прочих полезных ископаемых, млн. сомов</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984,0</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1074,2</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1122,2</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1157,8</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1262,4</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116,0</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106,4</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92,6</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II. Обрабатывающие производства, млн. сомов</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134834,6</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138478,0</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139630,9</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144443,6</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164332,2</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92,2</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98,7</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111,2</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Производство продуктов (включая напитки) и табачных изделий, млн. сомов</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21509,2</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22130,1</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23200,7</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25029,1</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27533,1</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93,3</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106,8</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100,8</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Текстильное производство; производство одежды и обуви, кожи и прочих кожаных изделий, млн. сомов</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4896,4</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5043,9</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5391,7</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6212,0</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7302,7</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88,7</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106,7</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107,9</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109,0</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Производство деревянных и бумажных изделий; полиграфическая деятельность, млн. сомов</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2176,6</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2226,9</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2307,8</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2512,8</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2728,9</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100,8</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108,6</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Производство кокса и очищенных нефтепродуктов, млн. сомов</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4471,4</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6076,3</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9300,7</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13926,2</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22847,2</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173,5</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123,5</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133,3</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126,3</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151,5</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71,4</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114,8</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118,6</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108,3</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Производство химической продукции, млн. сомов</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618,5</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418,1</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418,1</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426,5</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435,0</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63,6</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67,6</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79,7</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Производство фармацевтической продукции, млн. сомов</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218,9</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241,1</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257,0</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300,3</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335,6</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136,2</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108,2</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114,8</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108,5</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93,8</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 Производство резиновых и пластмассовых изделий, прочих неметаллических минеральных продуктов, млн. сомов</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14981,7</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15302,6</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16003,2</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16893,9</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18563,1</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88,9</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106,7</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100,3</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 Производство основных металлов и готовых металлических изделий, кроме машин и оборудования, млн. сомов</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82095,6</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83049,2</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78585,5</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74807,9</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80082,0</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91,5</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94,6</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95,2</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107,1</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 Производство компьютеров, электронного и оптического оборудования, млн. сомов</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61,7</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63,5</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66,1</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68,1</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70,2</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183,9</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120,7</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 Производство электрического оборудования, млн. сомов</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1769,2</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1822,6</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1888,8</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1945,9</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1984,8</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91,2</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 Производство машин и оборудования, не включенных в другие группировки, млн. сомов</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229,0</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230,8</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234,7</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240,2</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245,0</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74,1</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108,3</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100,8</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100,3</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 Производство транспортных средств, млн. сомов</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607,3</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613,3</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627,5</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635,7</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642,0</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70,5</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100,3</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115,3</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100,3</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 Прочие производства, ремонт и установка машин и оборудования, млн. сомов</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1199,1</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1259,5</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1349,0</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1445,0</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1562,8</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107,2</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82,0</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III. Обеспечение (снабжение) электроэнергией, газом, паром и кондиционированным воздухом, млн. сомов</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30745,7</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34724,2</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39722,4</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44855,2</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50204,3</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97,2</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135,8</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110,8</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109,8</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108,5</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107,9</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IV. Водоснабжение, очистка, обработка отходов и получение вторичного сырья, млн. сомов</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1590,3</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1738,3</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1915,9</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2044,8</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2201,1</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6
 к Среднесрочному прогнозу социально-экономического развития Кыргызской Республики на 2017-2019 годы</w:t>
      </w:r>
    </w:p>
    <w:p>
      <w:pPr>
        <w:spacing w:after="400" w:before="400"/>
        <w:jc w:val="center"/>
      </w:pPr>
      <w:r>
        <w:rPr>
          <w:rFonts w:ascii="Arial" w:cs="Arial" w:eastAsia="Arial" w:hAnsi="Arial"/>
          <w:b/>
          <w:bCs/>
          <w:sz w:val="32"/>
          <w:szCs w:val="32"/>
        </w:rPr>
        <w:t xml:space="preserve">СРЕДНЕСРОЧНЫЙ ПРОГНОЗ
 развития промышленности Кыргызской Республики на 2017-2019 годы, с учетом стоимости переработки давальческого сырья, без учета покупной электроэнергии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02"/>
        <w:gridCol w:w="1091"/>
        <w:gridCol w:w="1021"/>
        <w:gridCol w:w="1021"/>
        <w:gridCol w:w="1021"/>
        <w:gridCol w:w="1021"/>
      </w:tblGrid>
      <w:tr>
        <w:tc>
          <w:tcPr>
            <w:tcW w:type="dxa" w:w="500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09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год</w:t>
            </w:r>
          </w:p>
        </w:tc>
        <w:tc>
          <w:tcPr>
            <w:tcW w:type="dxa" w:w="102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год</w:t>
            </w:r>
          </w:p>
        </w:tc>
        <w:tc>
          <w:tcPr>
            <w:tcW w:type="dxa" w:w="102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год</w:t>
            </w:r>
          </w:p>
        </w:tc>
        <w:tc>
          <w:tcPr>
            <w:tcW w:type="dxa" w:w="102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w:t>
            </w:r>
          </w:p>
        </w:tc>
        <w:tc>
          <w:tcPr>
            <w:tcW w:type="dxa" w:w="102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год</w:t>
            </w:r>
          </w:p>
        </w:tc>
      </w:tr>
      <w:tr>
        <w:tc>
          <w:tcPr>
            <w:vMerge w:val="continue"/>
            <w:tcBorders>
              <w:top w:val="single" w:color="CBBF9E" w:sz="4"/>
              <w:left w:val="single" w:color="CBBF9E" w:sz="4"/>
              <w:bottom w:val="single" w:color="CBBF9E" w:sz="4"/>
              <w:right w:val="single" w:color="CBBF9E" w:sz="4"/>
            </w:tcBorders>
          </w:tcP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предв. факт</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промышленности в действующих ценах, млн. сомов</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174341,8</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182492,9</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188124,1</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198543,3</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225760,3</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95,0</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99,8</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110,3</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 без учета предприятий по разработке месторождения Кумтор, млн. сомов</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95523,2</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104513,4</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117207,2</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131802,7</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153858,1</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97,8</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106,4</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107,2</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111,6</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 Добыча полезных ископаемых, млн. сомов</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7995,6</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9608,4</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10431,8</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11916,7</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14480,7</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163,8</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117,6</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112,0</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119,2</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91,1</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Добыча каменного угля и бурого угля (лигнита), млн. сомов</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2150,2</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2213,4</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2317,1</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2424,0</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2521,9</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100,9</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Добыча сырой нефти и природного газа, млн. сомов</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2299,2</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2057,7</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2094,8</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2094,8</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2136,7</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128,8</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89,5</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87,5</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Добыча металлических руд, млн. сомов</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2560,1</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4260,7</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4895,3</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6237,5</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8556,9</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475,5</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160,8</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110,5</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123,7</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134,5</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70,6</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Добыча прочих полезных ископаемых, млн. сомов</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986,2</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1076,6</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1124,7</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1160,4</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1265,2</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116,0</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106,4</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92,6</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II. Обрабатывающие производства, млн. сомов</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143711,4</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147465,5</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148783,5</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154141,0</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175160,2</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92,2</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98,6</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110,9</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Производство продуктов (включая напитки) и табачных изделий, млн. сомов</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28176,8</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29393,6</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30510,6</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32603,4</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35865,0</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93,3</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99,5</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106,8</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110,3</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Текстильное производство; производство одежды и обуви, кожи и прочих кожаных изделий, млн. сомов</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5607,0</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6767,8</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7234,5</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8335,1</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9798,6</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88,7</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106,7</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107,9</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109,0</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Производство деревянных и бумажных изделий; полиграфическая деятельность, млн. сомов</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2390,3</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2226,9</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2307,8</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2512,8</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2728,9</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100,8</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108,6</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96,2</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Производство кокса и очищенных нефтепродуктов, млн. сомов</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5681,6</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6076,3</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9300,7</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13926,2</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22847,2</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173,5</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123,5</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133,3</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126,3</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151,5</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46,2</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114,8</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118,6</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108,3</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Производство химической продукции, млн. сомов</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618,5</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418,1</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418,1</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426,5</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435,0</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63,6</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67,6</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79,7</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Производство фармацевтической продукции, млн. сомов</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218,9</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241,1</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257,0</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300,3</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335,6</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136,2</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108,2</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114,8</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108,5</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93,8</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 Производство резиновых и пластмассовых изделий, прочих неметаллических минеральных продуктов, млн. сомов</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14999,9</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15302,6</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16003,2</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16893,9</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18563,1</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88,9</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106,7</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100,3</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 Производство основных металлов и готовых металлических изделий, кроме машин и оборудования, млн. сомов</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82095,6</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83049,2</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78585,5</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74807,9</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80082,0</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91,5</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94,6</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95,2</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107,1</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 Производство компьютеров, электронного и оптического оборудования, млн. сомов</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61,7</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63,5</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66,1</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68,1</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70,2</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183,9</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120,7</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 Производство электрического оборудования, млн. сомов</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1769,2</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1822,6</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1888,8</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1945,9</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1984,8</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91,2</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 Производство машин и оборудования, не включенных в другие группировки, млн. сомов</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229,0</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230,8</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234,7</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240,2</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245,0</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74,1</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108,3</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100,8</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100,3</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 Производство транспортных средств, млн. сомов</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607,3</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613,3</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627,5</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635,7</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642,0</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70,5</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100,3</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115,3</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100,3</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 Прочие производства, ремонт и установка машин и оборудования, млн. сомов</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1255,6</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1259,5</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1349,0</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1445,0</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1562,8</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107,2</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78,4</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III. Обеспечение (снабжение) электроэнергией, газом, паром и кондиционированным воздухом, млн. сомов</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21044,5</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23680,7</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26992,8</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30440,9</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33918,3</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97,2</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123,4</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109,9</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109,1</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107,8</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IV. Водоснабжение, очистка, обработка отходов и получение вторичного сырья, млн. сомов</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1590,3</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1738,3</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1915,9</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2044,8</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2201,1</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r>
      <w:tr>
        <w:tc>
          <w:tcPr>
            <w:tcW w:type="dxa" w:w="500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87,1</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1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7
 к Среднесрочному прогнозу социально-экономического развития Кыргызской Республики на 2017-2019 годы</w:t>
      </w:r>
    </w:p>
    <w:p>
      <w:pPr>
        <w:spacing w:after="400" w:before="400"/>
        <w:jc w:val="center"/>
      </w:pPr>
      <w:r>
        <w:rPr>
          <w:rFonts w:ascii="Arial" w:cs="Arial" w:eastAsia="Arial" w:hAnsi="Arial"/>
          <w:b/>
          <w:bCs/>
          <w:sz w:val="32"/>
          <w:szCs w:val="32"/>
        </w:rPr>
        <w:t xml:space="preserve">СРЕДНЕСРОЧНЫЙ ПРОГНОЗ
 производства натуральных видов продукции промышленности Кыргызской Республики на 2017-2019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533"/>
        <w:gridCol w:w="1005"/>
        <w:gridCol w:w="869"/>
        <w:gridCol w:w="924"/>
        <w:gridCol w:w="924"/>
        <w:gridCol w:w="924"/>
      </w:tblGrid>
      <w:tr>
        <w:tc>
          <w:tcPr>
            <w:tcW w:type="dxa" w:w="553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00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год</w:t>
            </w:r>
          </w:p>
        </w:tc>
        <w:tc>
          <w:tcPr>
            <w:tcW w:type="dxa" w:w="86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год</w:t>
            </w:r>
          </w:p>
        </w:tc>
        <w:tc>
          <w:tcPr>
            <w:tcW w:type="dxa" w:w="92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год</w:t>
            </w:r>
          </w:p>
        </w:tc>
        <w:tc>
          <w:tcPr>
            <w:tcW w:type="dxa" w:w="92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w:t>
            </w:r>
          </w:p>
        </w:tc>
        <w:tc>
          <w:tcPr>
            <w:tcW w:type="dxa" w:w="92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год</w:t>
            </w:r>
          </w:p>
        </w:tc>
      </w:tr>
      <w:tr>
        <w:tc>
          <w:tcPr>
            <w:vMerge w:val="continue"/>
            <w:tcBorders>
              <w:top w:val="single" w:color="CBBF9E" w:sz="4"/>
              <w:left w:val="single" w:color="CBBF9E" w:sz="4"/>
              <w:bottom w:val="single" w:color="CBBF9E" w:sz="4"/>
              <w:right w:val="single" w:color="CBBF9E" w:sz="4"/>
            </w:tcBorders>
          </w:tcP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предв. факт</w:t>
            </w:r>
          </w:p>
        </w:tc>
        <w:tc>
          <w:tcPr>
            <w:tcW w:type="dxa" w:w="86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r>
      <w:tr>
        <w:tc>
          <w:tcPr>
            <w:tcW w:type="dxa" w:w="553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Добыча полезных ископаемых</w:t>
            </w:r>
          </w:p>
        </w:tc>
        <w:tc>
          <w:tcPr>
            <w:tcW w:type="dxa" w:w="1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Уголь, тыс. т</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1882,7</w:t>
            </w:r>
          </w:p>
        </w:tc>
        <w:tc>
          <w:tcPr>
            <w:tcW w:type="dxa" w:w="8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1900,0</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1950,0</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2000,0</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2050,0</w:t>
            </w:r>
          </w:p>
        </w:tc>
      </w:tr>
      <w:tr>
        <w:tc>
          <w:tcPr>
            <w:tcW w:type="dxa" w:w="55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Сырая нефть, тыс. т</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107,1</w:t>
            </w:r>
          </w:p>
        </w:tc>
        <w:tc>
          <w:tcPr>
            <w:tcW w:type="dxa" w:w="8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w:t>
            </w:r>
          </w:p>
        </w:tc>
      </w:tr>
      <w:tr>
        <w:tc>
          <w:tcPr>
            <w:tcW w:type="dxa" w:w="55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Газ природный, млн. м</w:t>
            </w:r>
            <w:r>
              <w:rPr>
                <w:rFonts w:ascii="Arial" w:cs="Arial" w:eastAsia="Arial" w:hAnsi="Arial"/>
                <w:sz w:val="24"/>
                <w:szCs w:val="24"/>
              </w:rPr>
              <w:t xml:space="preserve">3</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31,6</w:t>
            </w:r>
          </w:p>
        </w:tc>
        <w:tc>
          <w:tcPr>
            <w:tcW w:type="dxa" w:w="8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r>
      <w:tr>
        <w:tc>
          <w:tcPr>
            <w:tcW w:type="dxa" w:w="55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Природные пески, тыс. т</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637,8</w:t>
            </w:r>
          </w:p>
        </w:tc>
        <w:tc>
          <w:tcPr>
            <w:tcW w:type="dxa" w:w="8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650,0</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700,0</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750,0</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800,0</w:t>
            </w:r>
          </w:p>
        </w:tc>
      </w:tr>
      <w:tr>
        <w:tc>
          <w:tcPr>
            <w:tcW w:type="dxa" w:w="55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Гранулы, каменная крошка, галька, гравий, щебень или дробленый камень, тыс. т</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1332,6</w:t>
            </w:r>
          </w:p>
        </w:tc>
        <w:tc>
          <w:tcPr>
            <w:tcW w:type="dxa" w:w="8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1350,0</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1400,0</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1400,0</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1400,0</w:t>
            </w:r>
          </w:p>
        </w:tc>
      </w:tr>
      <w:tr>
        <w:tc>
          <w:tcPr>
            <w:tcW w:type="dxa" w:w="55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Глина и каолин, тыс. т</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212,7</w:t>
            </w:r>
          </w:p>
        </w:tc>
        <w:tc>
          <w:tcPr>
            <w:tcW w:type="dxa" w:w="8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213,0</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215,0</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220,0</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230,0</w:t>
            </w:r>
          </w:p>
        </w:tc>
      </w:tr>
      <w:tr>
        <w:tc>
          <w:tcPr>
            <w:tcW w:type="dxa" w:w="553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Обрабатывающие производства</w:t>
            </w:r>
          </w:p>
        </w:tc>
        <w:tc>
          <w:tcPr>
            <w:tcW w:type="dxa" w:w="1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Масло растительное, т</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13827,1</w:t>
            </w:r>
          </w:p>
        </w:tc>
        <w:tc>
          <w:tcPr>
            <w:tcW w:type="dxa" w:w="8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13965,4</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14105,0</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14246,1</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14388,5</w:t>
            </w:r>
          </w:p>
        </w:tc>
      </w:tr>
      <w:tr>
        <w:tc>
          <w:tcPr>
            <w:tcW w:type="dxa" w:w="55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Водка, тыс. дал</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886,6</w:t>
            </w:r>
          </w:p>
        </w:tc>
        <w:tc>
          <w:tcPr>
            <w:tcW w:type="dxa" w:w="8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620,6</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638,3</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656,1</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673,8</w:t>
            </w:r>
          </w:p>
        </w:tc>
      </w:tr>
      <w:tr>
        <w:tc>
          <w:tcPr>
            <w:tcW w:type="dxa" w:w="55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Пиво, тыс. дал</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2629,4</w:t>
            </w:r>
          </w:p>
        </w:tc>
        <w:tc>
          <w:tcPr>
            <w:tcW w:type="dxa" w:w="8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2629,4</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2655,7</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2682,2</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2709,1</w:t>
            </w:r>
          </w:p>
        </w:tc>
      </w:tr>
      <w:tr>
        <w:tc>
          <w:tcPr>
            <w:tcW w:type="dxa" w:w="55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Воды минеральные, газированные, неподслащенные и неароматизированные, тыс. дал</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3682,8</w:t>
            </w:r>
          </w:p>
        </w:tc>
        <w:tc>
          <w:tcPr>
            <w:tcW w:type="dxa" w:w="8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3719,6</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3756,8</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3794,3</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3832,3</w:t>
            </w:r>
          </w:p>
        </w:tc>
      </w:tr>
      <w:tr>
        <w:tc>
          <w:tcPr>
            <w:tcW w:type="dxa" w:w="55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Напитки безалкогольные, тыс. дал</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11190,5</w:t>
            </w:r>
          </w:p>
        </w:tc>
        <w:tc>
          <w:tcPr>
            <w:tcW w:type="dxa" w:w="8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11302,4</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11415,5</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11529,6</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11644,9</w:t>
            </w:r>
          </w:p>
        </w:tc>
      </w:tr>
      <w:tr>
        <w:tc>
          <w:tcPr>
            <w:tcW w:type="dxa" w:w="55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Мука из зерновых культур, тыс. т</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243,3</w:t>
            </w:r>
          </w:p>
        </w:tc>
        <w:tc>
          <w:tcPr>
            <w:tcW w:type="dxa" w:w="8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245,7</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248,2</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250,6</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253,1</w:t>
            </w:r>
          </w:p>
        </w:tc>
      </w:tr>
      <w:tr>
        <w:tc>
          <w:tcPr>
            <w:tcW w:type="dxa" w:w="55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Сахар-песок, тыс. т</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24,0</w:t>
            </w:r>
          </w:p>
        </w:tc>
        <w:tc>
          <w:tcPr>
            <w:tcW w:type="dxa" w:w="8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33,0</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36,3</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39,9</w:t>
            </w:r>
          </w:p>
        </w:tc>
      </w:tr>
      <w:tr>
        <w:tc>
          <w:tcPr>
            <w:tcW w:type="dxa" w:w="55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Сигареты, млн. шт.</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8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r>
      <w:tr>
        <w:tc>
          <w:tcPr>
            <w:tcW w:type="dxa" w:w="55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Волокно хлопковое кардочесанное и гребнечесанное, тыс. т</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w:t>
            </w:r>
          </w:p>
        </w:tc>
        <w:tc>
          <w:tcPr>
            <w:tcW w:type="dxa" w:w="8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16,1</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18,5</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18,7</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18,9</w:t>
            </w:r>
          </w:p>
        </w:tc>
      </w:tr>
      <w:tr>
        <w:tc>
          <w:tcPr>
            <w:tcW w:type="dxa" w:w="55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Ткани готовые всех видов, тыс. м</w:t>
            </w:r>
            <w:r>
              <w:rPr>
                <w:rFonts w:ascii="Arial" w:cs="Arial" w:eastAsia="Arial" w:hAnsi="Arial"/>
                <w:sz w:val="24"/>
                <w:szCs w:val="24"/>
              </w:rPr>
              <w:t xml:space="preserve">2</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8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35,0</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35,0</w:t>
            </w:r>
          </w:p>
        </w:tc>
      </w:tr>
      <w:tr>
        <w:tc>
          <w:tcPr>
            <w:tcW w:type="dxa" w:w="55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Текстильное производство; производство одежды и обуви, кожи и прочих кожаных изделий, млн. сомов</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4896,4</w:t>
            </w:r>
          </w:p>
        </w:tc>
        <w:tc>
          <w:tcPr>
            <w:tcW w:type="dxa" w:w="8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5043,9</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5391,7</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6212,0</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7302,7</w:t>
            </w:r>
          </w:p>
        </w:tc>
      </w:tr>
      <w:tr>
        <w:tc>
          <w:tcPr>
            <w:tcW w:type="dxa" w:w="55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Листовое стекло, млн. м</w:t>
            </w:r>
            <w:r>
              <w:rPr>
                <w:rFonts w:ascii="Arial" w:cs="Arial" w:eastAsia="Arial" w:hAnsi="Arial"/>
                <w:sz w:val="24"/>
                <w:szCs w:val="24"/>
              </w:rPr>
              <w:t xml:space="preserve">2</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8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r>
      <w:tr>
        <w:tc>
          <w:tcPr>
            <w:tcW w:type="dxa" w:w="55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Тракторные прицепы, шт.</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w:t>
            </w:r>
          </w:p>
        </w:tc>
        <w:tc>
          <w:tcPr>
            <w:tcW w:type="dxa" w:w="8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w:t>
            </w:r>
          </w:p>
        </w:tc>
      </w:tr>
      <w:tr>
        <w:tc>
          <w:tcPr>
            <w:tcW w:type="dxa" w:w="55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Радиаторы, тыс. шт.</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80,2</w:t>
            </w:r>
          </w:p>
        </w:tc>
        <w:tc>
          <w:tcPr>
            <w:tcW w:type="dxa" w:w="8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92,0</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94,0</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94,0</w:t>
            </w:r>
          </w:p>
        </w:tc>
      </w:tr>
      <w:tr>
        <w:tc>
          <w:tcPr>
            <w:tcW w:type="dxa" w:w="55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Шифер гофрированный, листы, панели и изделия аналогичные из асбестоцемента, тыс. листов</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1690,0</w:t>
            </w:r>
          </w:p>
        </w:tc>
        <w:tc>
          <w:tcPr>
            <w:tcW w:type="dxa" w:w="8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1700,0</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1700,0</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1750,0</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1800,0</w:t>
            </w:r>
          </w:p>
        </w:tc>
      </w:tr>
      <w:tr>
        <w:tc>
          <w:tcPr>
            <w:tcW w:type="dxa" w:w="55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Цемент, портландцемент, тыс. т</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1494,4</w:t>
            </w:r>
          </w:p>
        </w:tc>
        <w:tc>
          <w:tcPr>
            <w:tcW w:type="dxa" w:w="8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1500,0</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1550,0</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1600,0</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1700,0</w:t>
            </w:r>
          </w:p>
        </w:tc>
      </w:tr>
      <w:tr>
        <w:tc>
          <w:tcPr>
            <w:tcW w:type="dxa" w:w="55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Золото, т*</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w:t>
            </w:r>
          </w:p>
        </w:tc>
        <w:tc>
          <w:tcPr>
            <w:tcW w:type="dxa" w:w="8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16,6</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15,9</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16,9</w:t>
            </w:r>
          </w:p>
        </w:tc>
      </w:tr>
      <w:tr>
        <w:tc>
          <w:tcPr>
            <w:tcW w:type="dxa" w:w="55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Сурьма, т*</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8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160,0</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160,0</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160,0</w:t>
            </w:r>
          </w:p>
        </w:tc>
      </w:tr>
      <w:tr>
        <w:tc>
          <w:tcPr>
            <w:tcW w:type="dxa" w:w="55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Ртуть, т*</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27,8</w:t>
            </w:r>
          </w:p>
        </w:tc>
        <w:tc>
          <w:tcPr>
            <w:tcW w:type="dxa" w:w="8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w:t>
            </w:r>
          </w:p>
        </w:tc>
      </w:tr>
      <w:tr>
        <w:tc>
          <w:tcPr>
            <w:tcW w:type="dxa" w:w="55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Моторное топливо, тыс. т</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8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142,0</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156,0</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210,0</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320,0</w:t>
            </w:r>
          </w:p>
        </w:tc>
      </w:tr>
      <w:tr>
        <w:tc>
          <w:tcPr>
            <w:tcW w:type="dxa" w:w="55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Дизельное топливо, тыс. т</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54,9</w:t>
            </w:r>
          </w:p>
        </w:tc>
        <w:tc>
          <w:tcPr>
            <w:tcW w:type="dxa" w:w="8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72,0</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98,0</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115,0</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175,0</w:t>
            </w:r>
          </w:p>
        </w:tc>
      </w:tr>
      <w:tr>
        <w:tc>
          <w:tcPr>
            <w:tcW w:type="dxa" w:w="55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Мазут, тыс. т</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85,9</w:t>
            </w:r>
          </w:p>
        </w:tc>
        <w:tc>
          <w:tcPr>
            <w:tcW w:type="dxa" w:w="8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86,0</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146,0</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180,0</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270,0</w:t>
            </w:r>
          </w:p>
        </w:tc>
      </w:tr>
      <w:tr>
        <w:tc>
          <w:tcPr>
            <w:tcW w:type="dxa" w:w="55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Лампы накаливания, млн. шт.</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167,4</w:t>
            </w:r>
          </w:p>
        </w:tc>
        <w:tc>
          <w:tcPr>
            <w:tcW w:type="dxa" w:w="8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168,0</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169,0</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172,0</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172,0</w:t>
            </w:r>
          </w:p>
        </w:tc>
      </w:tr>
      <w:tr>
        <w:tc>
          <w:tcPr>
            <w:tcW w:type="dxa" w:w="55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Обеспечение (снабжение) электроэнергией, газом, паром и кондиционированным воздухом</w:t>
            </w:r>
          </w:p>
        </w:tc>
        <w:tc>
          <w:tcPr>
            <w:tcW w:type="dxa" w:w="1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Электроэнергия, млн. кВт.ч</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12977,6</w:t>
            </w:r>
          </w:p>
        </w:tc>
        <w:tc>
          <w:tcPr>
            <w:tcW w:type="dxa" w:w="8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13120,0</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13600,0</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14000,0</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14379,8</w:t>
            </w:r>
          </w:p>
        </w:tc>
      </w:tr>
      <w:tr>
        <w:tc>
          <w:tcPr>
            <w:tcW w:type="dxa" w:w="55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Тепловая энергия, Гкал</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2904,1</w:t>
            </w:r>
          </w:p>
        </w:tc>
        <w:tc>
          <w:tcPr>
            <w:tcW w:type="dxa" w:w="8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3100,0</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3200,0</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3200,0</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3200,0</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8
 к Среднесрочному прогнозу социально-экономического развития Кыргызской Республики на 2017-2019 годы</w:t>
      </w:r>
    </w:p>
    <w:p>
      <w:pPr>
        <w:spacing w:after="400" w:before="400"/>
        <w:jc w:val="center"/>
      </w:pPr>
      <w:r>
        <w:rPr>
          <w:rFonts w:ascii="Arial" w:cs="Arial" w:eastAsia="Arial" w:hAnsi="Arial"/>
          <w:b/>
          <w:bCs/>
          <w:sz w:val="32"/>
          <w:szCs w:val="32"/>
        </w:rPr>
        <w:t xml:space="preserve">СРЕДНЕСРОЧНЫЙ ПРОГНОЗ
 производства золота в Кыргызской Республике на 2017-2019 годы</w:t>
      </w:r>
      <w:r>
        <w:rPr>
          <w:rFonts w:ascii="Arial" w:cs="Arial" w:eastAsia="Arial" w:hAnsi="Arial"/>
          <w:b/>
          <w:bCs/>
          <w:sz w:val="32"/>
          <w:szCs w:val="32"/>
        </w:rPr>
        <w:t xml:space="preserve">(9)</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26"/>
        <w:gridCol w:w="1230"/>
        <w:gridCol w:w="947"/>
        <w:gridCol w:w="959"/>
        <w:gridCol w:w="959"/>
        <w:gridCol w:w="959"/>
      </w:tblGrid>
      <w:tr>
        <w:tc>
          <w:tcPr>
            <w:tcW w:type="dxa" w:w="5126"/>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23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год</w:t>
            </w:r>
          </w:p>
        </w:tc>
        <w:tc>
          <w:tcPr>
            <w:tcW w:type="dxa" w:w="94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год</w:t>
            </w:r>
          </w:p>
        </w:tc>
        <w:tc>
          <w:tcPr>
            <w:tcW w:type="dxa" w:w="95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год</w:t>
            </w:r>
          </w:p>
        </w:tc>
        <w:tc>
          <w:tcPr>
            <w:tcW w:type="dxa" w:w="95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w:t>
            </w:r>
          </w:p>
        </w:tc>
        <w:tc>
          <w:tcPr>
            <w:tcW w:type="dxa" w:w="95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год</w:t>
            </w:r>
          </w:p>
        </w:tc>
      </w:tr>
      <w:tr>
        <w:tc>
          <w:tcPr>
            <w:vMerge w:val="continue"/>
            <w:tcBorders>
              <w:top w:val="single" w:color="CBBF9E" w:sz="4"/>
              <w:left w:val="single" w:color="CBBF9E" w:sz="4"/>
              <w:bottom w:val="single" w:color="CBBF9E" w:sz="4"/>
              <w:right w:val="single" w:color="CBBF9E" w:sz="4"/>
            </w:tcBorders>
          </w:tcPr>
          <w:p/>
        </w:tc>
        <w:tc>
          <w:tcPr>
            <w:tcW w:type="dxa" w:w="123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предв. факт</w:t>
            </w:r>
          </w:p>
        </w:tc>
        <w:tc>
          <w:tcPr>
            <w:tcW w:type="dxa" w:w="94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r>
      <w:tr>
        <w:tc>
          <w:tcPr>
            <w:tcW w:type="dxa" w:w="51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Производство золота, сплав Доре, кг</w:t>
            </w:r>
          </w:p>
        </w:tc>
        <w:tc>
          <w:tcPr>
            <w:tcW w:type="dxa" w:w="12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16516,6</w:t>
            </w:r>
          </w:p>
        </w:tc>
        <w:tc>
          <w:tcPr>
            <w:tcW w:type="dxa" w:w="9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17042,9</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16621,7</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15883,6</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16944,2</w:t>
            </w:r>
          </w:p>
        </w:tc>
      </w:tr>
      <w:tr>
        <w:tc>
          <w:tcPr>
            <w:tcW w:type="dxa" w:w="51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2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1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Закрытое акционерное общество "Кумтор Голд Компани"</w:t>
            </w:r>
          </w:p>
        </w:tc>
        <w:tc>
          <w:tcPr>
            <w:tcW w:type="dxa" w:w="12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1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Производство золота, сплав Доре, кг</w:t>
            </w:r>
          </w:p>
        </w:tc>
        <w:tc>
          <w:tcPr>
            <w:tcW w:type="dxa" w:w="12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16195,3</w:t>
            </w:r>
          </w:p>
        </w:tc>
        <w:tc>
          <w:tcPr>
            <w:tcW w:type="dxa" w:w="9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16022,9</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14571,7</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13713,6</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14774,2</w:t>
            </w:r>
          </w:p>
        </w:tc>
      </w:tr>
      <w:tr>
        <w:tc>
          <w:tcPr>
            <w:tcW w:type="dxa" w:w="51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2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91,7</w:t>
            </w:r>
          </w:p>
        </w:tc>
        <w:tc>
          <w:tcPr>
            <w:tcW w:type="dxa" w:w="9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98,9</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90,9</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94,1</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107,7</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9
 к Среднесрочному прогнозу социально-экономического развития Кыргызской Республики на 2017-2019 годы</w:t>
      </w:r>
    </w:p>
    <w:p>
      <w:pPr>
        <w:spacing w:after="400" w:before="400"/>
        <w:jc w:val="center"/>
      </w:pPr>
      <w:r>
        <w:rPr>
          <w:rFonts w:ascii="Arial" w:cs="Arial" w:eastAsia="Arial" w:hAnsi="Arial"/>
          <w:b/>
          <w:bCs/>
          <w:sz w:val="32"/>
          <w:szCs w:val="32"/>
        </w:rPr>
        <w:t xml:space="preserve">СРЕДНЕСРОЧНЫЙ ПРОГНОЗ
 развития сферы услуг в Кыргызской Республике на 2017-2019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34"/>
        <w:gridCol w:w="1123"/>
        <w:gridCol w:w="1005"/>
        <w:gridCol w:w="1005"/>
        <w:gridCol w:w="1005"/>
        <w:gridCol w:w="1005"/>
      </w:tblGrid>
      <w:tr>
        <w:tc>
          <w:tcPr>
            <w:tcW w:type="dxa" w:w="5034"/>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12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год</w:t>
            </w:r>
          </w:p>
        </w:tc>
        <w:tc>
          <w:tcPr>
            <w:tcW w:type="dxa" w:w="100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год</w:t>
            </w:r>
          </w:p>
        </w:tc>
        <w:tc>
          <w:tcPr>
            <w:tcW w:type="dxa" w:w="100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год</w:t>
            </w:r>
          </w:p>
        </w:tc>
        <w:tc>
          <w:tcPr>
            <w:tcW w:type="dxa" w:w="100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w:t>
            </w:r>
          </w:p>
        </w:tc>
        <w:tc>
          <w:tcPr>
            <w:tcW w:type="dxa" w:w="100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год</w:t>
            </w:r>
          </w:p>
        </w:tc>
      </w:tr>
      <w:tr>
        <w:tc>
          <w:tcPr>
            <w:vMerge w:val="continue"/>
            <w:tcBorders>
              <w:top w:val="single" w:color="CBBF9E" w:sz="4"/>
              <w:left w:val="single" w:color="CBBF9E" w:sz="4"/>
              <w:bottom w:val="single" w:color="CBBF9E" w:sz="4"/>
              <w:right w:val="single" w:color="CBBF9E" w:sz="4"/>
            </w:tcBorders>
          </w:tcPr>
          <w:p/>
        </w:tc>
        <w:tc>
          <w:tcPr>
            <w:tcW w:type="dxa" w:w="11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предв. факт</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r>
      <w:tr>
        <w:tc>
          <w:tcPr>
            <w:tcW w:type="dxa" w:w="5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Валовой выпуск сферы услуг, млн. сомов</w:t>
            </w:r>
          </w:p>
        </w:tc>
        <w:tc>
          <w:tcPr>
            <w:tcW w:type="dxa" w:w="11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372326,6</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407274,1</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457319,5</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511386,1</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567059,0</w:t>
            </w:r>
          </w:p>
        </w:tc>
      </w:tr>
      <w:tr>
        <w:tc>
          <w:tcPr>
            <w:tcW w:type="dxa" w:w="5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1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r>
      <w:tr>
        <w:tc>
          <w:tcPr>
            <w:tcW w:type="dxa" w:w="5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106,7</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106,3</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107,7</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106,7</w:t>
            </w:r>
          </w:p>
        </w:tc>
      </w:tr>
      <w:tr>
        <w:tc>
          <w:tcPr>
            <w:tcW w:type="dxa" w:w="5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1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Оптовая и розничная торговля; ремонт автомобилей и мотоциклов, млн. сомов</w:t>
            </w:r>
          </w:p>
        </w:tc>
        <w:tc>
          <w:tcPr>
            <w:tcW w:type="dxa" w:w="11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128089,2</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143019,1</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165967,3</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190507,6</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215277,8</w:t>
            </w:r>
          </w:p>
        </w:tc>
      </w:tr>
      <w:tr>
        <w:tc>
          <w:tcPr>
            <w:tcW w:type="dxa" w:w="5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1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106,6</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107,5</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107,8</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r>
      <w:tr>
        <w:tc>
          <w:tcPr>
            <w:tcW w:type="dxa" w:w="5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107,9</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106,6</w:t>
            </w:r>
          </w:p>
        </w:tc>
      </w:tr>
      <w:tr>
        <w:tc>
          <w:tcPr>
            <w:tcW w:type="dxa" w:w="5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Транспортная деятельность и хранение грузов, млн. сомов</w:t>
            </w:r>
          </w:p>
        </w:tc>
        <w:tc>
          <w:tcPr>
            <w:tcW w:type="dxa" w:w="11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40460,0</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44446,9</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51106,6</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58485,3</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66086,3</w:t>
            </w:r>
          </w:p>
        </w:tc>
      </w:tr>
      <w:tr>
        <w:tc>
          <w:tcPr>
            <w:tcW w:type="dxa" w:w="5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предыдущему году</w:t>
            </w:r>
          </w:p>
        </w:tc>
        <w:tc>
          <w:tcPr>
            <w:tcW w:type="dxa" w:w="11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107,2</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w:t>
            </w:r>
          </w:p>
        </w:tc>
      </w:tr>
      <w:tr>
        <w:tc>
          <w:tcPr>
            <w:tcW w:type="dxa" w:w="5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107,7</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108,2</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106,7</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r>
      <w:tr>
        <w:tc>
          <w:tcPr>
            <w:tcW w:type="dxa" w:w="5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Гостиницы и рестораны, млн. сомов</w:t>
            </w:r>
          </w:p>
        </w:tc>
        <w:tc>
          <w:tcPr>
            <w:tcW w:type="dxa" w:w="11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20448,7</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23324,1</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27169,1</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31845,6</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36698,8</w:t>
            </w:r>
          </w:p>
        </w:tc>
      </w:tr>
      <w:tr>
        <w:tc>
          <w:tcPr>
            <w:tcW w:type="dxa" w:w="5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1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108,9</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107,1</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107,3</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109,3</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107,5</w:t>
            </w:r>
          </w:p>
        </w:tc>
      </w:tr>
      <w:tr>
        <w:tc>
          <w:tcPr>
            <w:tcW w:type="dxa" w:w="5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108,5</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107,2</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107,2</w:t>
            </w:r>
          </w:p>
        </w:tc>
      </w:tr>
      <w:tr>
        <w:tc>
          <w:tcPr>
            <w:tcW w:type="dxa" w:w="5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Информация и связь, млн. сомов</w:t>
            </w:r>
          </w:p>
        </w:tc>
        <w:tc>
          <w:tcPr>
            <w:tcW w:type="dxa" w:w="11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32195,5</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33918,6</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35002,3</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35932,3</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36690,9</w:t>
            </w:r>
          </w:p>
        </w:tc>
      </w:tr>
      <w:tr>
        <w:tc>
          <w:tcPr>
            <w:tcW w:type="dxa" w:w="5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1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r>
      <w:tr>
        <w:tc>
          <w:tcPr>
            <w:tcW w:type="dxa" w:w="5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r>
      <w:tr>
        <w:tc>
          <w:tcPr>
            <w:tcW w:type="dxa" w:w="5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Финансовое посредничество и страхование, млн. сомов</w:t>
            </w:r>
          </w:p>
        </w:tc>
        <w:tc>
          <w:tcPr>
            <w:tcW w:type="dxa" w:w="11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22501,9</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23976,9</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26079,7</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28442,5</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30791,6</w:t>
            </w:r>
          </w:p>
        </w:tc>
      </w:tr>
      <w:tr>
        <w:tc>
          <w:tcPr>
            <w:tcW w:type="dxa" w:w="5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1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100,9</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100,8</w:t>
            </w:r>
          </w:p>
        </w:tc>
      </w:tr>
      <w:tr>
        <w:tc>
          <w:tcPr>
            <w:tcW w:type="dxa" w:w="5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107,8</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107,3</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107,4</w:t>
            </w:r>
          </w:p>
        </w:tc>
      </w:tr>
      <w:tr>
        <w:tc>
          <w:tcPr>
            <w:tcW w:type="dxa" w:w="5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Операции с недвижимым имуществом, млн. сомов</w:t>
            </w:r>
          </w:p>
        </w:tc>
        <w:tc>
          <w:tcPr>
            <w:tcW w:type="dxa" w:w="11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17149,3</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18744,2</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20654,4</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22959,0</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25366,4</w:t>
            </w:r>
          </w:p>
        </w:tc>
      </w:tr>
      <w:tr>
        <w:tc>
          <w:tcPr>
            <w:tcW w:type="dxa" w:w="5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1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99,2</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100,9</w:t>
            </w:r>
          </w:p>
        </w:tc>
      </w:tr>
      <w:tr>
        <w:tc>
          <w:tcPr>
            <w:tcW w:type="dxa" w:w="5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110,3</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109,3</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109,1</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109,3</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109,5</w:t>
            </w:r>
          </w:p>
        </w:tc>
      </w:tr>
      <w:tr>
        <w:tc>
          <w:tcPr>
            <w:tcW w:type="dxa" w:w="5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Профессиональная, научная и техническая деятельность, млн. сомов</w:t>
            </w:r>
          </w:p>
        </w:tc>
        <w:tc>
          <w:tcPr>
            <w:tcW w:type="dxa" w:w="11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13119,9</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13980,5</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15196,1</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16396,4</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17620,3</w:t>
            </w:r>
          </w:p>
        </w:tc>
      </w:tr>
      <w:tr>
        <w:tc>
          <w:tcPr>
            <w:tcW w:type="dxa" w:w="5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1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r>
      <w:tr>
        <w:tc>
          <w:tcPr>
            <w:tcW w:type="dxa" w:w="5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117,0</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107,3</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106,4</w:t>
            </w:r>
          </w:p>
        </w:tc>
      </w:tr>
      <w:tr>
        <w:tc>
          <w:tcPr>
            <w:tcW w:type="dxa" w:w="5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Административная и вспомогательная деятельность, млн. сомов</w:t>
            </w:r>
          </w:p>
        </w:tc>
        <w:tc>
          <w:tcPr>
            <w:tcW w:type="dxa" w:w="11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3507,9</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3688,3</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3978,5</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4248,2</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4531,2</w:t>
            </w:r>
          </w:p>
        </w:tc>
      </w:tr>
      <w:tr>
        <w:tc>
          <w:tcPr>
            <w:tcW w:type="dxa" w:w="5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1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99,2</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r>
      <w:tr>
        <w:tc>
          <w:tcPr>
            <w:tcW w:type="dxa" w:w="5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100,8</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106,8</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r>
      <w:tr>
        <w:tc>
          <w:tcPr>
            <w:tcW w:type="dxa" w:w="5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Государственное управление и оборона; обязательное социальное обеспечение, млн. сомов</w:t>
            </w:r>
          </w:p>
        </w:tc>
        <w:tc>
          <w:tcPr>
            <w:tcW w:type="dxa" w:w="11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34810,5</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37137,7</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41044,8</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45445,1</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50385,3</w:t>
            </w:r>
          </w:p>
        </w:tc>
      </w:tr>
      <w:tr>
        <w:tc>
          <w:tcPr>
            <w:tcW w:type="dxa" w:w="5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1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99,9</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98,6</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w:t>
            </w:r>
          </w:p>
        </w:tc>
      </w:tr>
      <w:tr>
        <w:tc>
          <w:tcPr>
            <w:tcW w:type="dxa" w:w="5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111,6</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108,2</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110,3</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109,3</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110,1</w:t>
            </w:r>
          </w:p>
        </w:tc>
      </w:tr>
      <w:tr>
        <w:tc>
          <w:tcPr>
            <w:tcW w:type="dxa" w:w="5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Образование, млн. сомов</w:t>
            </w:r>
          </w:p>
        </w:tc>
        <w:tc>
          <w:tcPr>
            <w:tcW w:type="dxa" w:w="11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27738,5</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29869,3</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32505,1</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35045,0</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37747,7</w:t>
            </w:r>
          </w:p>
        </w:tc>
      </w:tr>
      <w:tr>
        <w:tc>
          <w:tcPr>
            <w:tcW w:type="dxa" w:w="5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1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r>
      <w:tr>
        <w:tc>
          <w:tcPr>
            <w:tcW w:type="dxa" w:w="5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106,3</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106,9</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105,7</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r>
      <w:tr>
        <w:tc>
          <w:tcPr>
            <w:tcW w:type="dxa" w:w="5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Здравоохранение и социальное обслуживание населения, млн. сомов</w:t>
            </w:r>
          </w:p>
        </w:tc>
        <w:tc>
          <w:tcPr>
            <w:tcW w:type="dxa" w:w="11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18488,2</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20116,6</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22055,6</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24116,5</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26365,9</w:t>
            </w:r>
          </w:p>
        </w:tc>
      </w:tr>
      <w:tr>
        <w:tc>
          <w:tcPr>
            <w:tcW w:type="dxa" w:w="5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1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r>
      <w:tr>
        <w:tc>
          <w:tcPr>
            <w:tcW w:type="dxa" w:w="5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116,2</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107,2</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107,7</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107,2</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107,5</w:t>
            </w:r>
          </w:p>
        </w:tc>
      </w:tr>
      <w:tr>
        <w:tc>
          <w:tcPr>
            <w:tcW w:type="dxa" w:w="5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Искусство, развлечения и отдых, млн. сомов</w:t>
            </w:r>
          </w:p>
        </w:tc>
        <w:tc>
          <w:tcPr>
            <w:tcW w:type="dxa" w:w="11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4795,7</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5281,7</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5834,5</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6433,9</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7094,2</w:t>
            </w:r>
          </w:p>
        </w:tc>
      </w:tr>
      <w:tr>
        <w:tc>
          <w:tcPr>
            <w:tcW w:type="dxa" w:w="5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1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r>
      <w:tr>
        <w:tc>
          <w:tcPr>
            <w:tcW w:type="dxa" w:w="5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131,7</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108,4</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108,3</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107,9</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108,1</w:t>
            </w:r>
          </w:p>
        </w:tc>
      </w:tr>
      <w:tr>
        <w:tc>
          <w:tcPr>
            <w:tcW w:type="dxa" w:w="5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Прочая обслуживающая деятельность, млн. сомов</w:t>
            </w:r>
          </w:p>
        </w:tc>
        <w:tc>
          <w:tcPr>
            <w:tcW w:type="dxa" w:w="11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9021,3</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9770,1</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10725,5</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11528,7</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12402,6</w:t>
            </w:r>
          </w:p>
        </w:tc>
      </w:tr>
      <w:tr>
        <w:tc>
          <w:tcPr>
            <w:tcW w:type="dxa" w:w="5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1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100,9</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r>
      <w:tr>
        <w:tc>
          <w:tcPr>
            <w:tcW w:type="dxa" w:w="50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107,4</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108,3</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108,8</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10
 к Среднесрочному прогнозу социально-экономического развития Кыргызской Республики на 2017-2019 годы</w:t>
      </w:r>
    </w:p>
    <w:p>
      <w:pPr>
        <w:spacing w:after="400" w:before="400"/>
        <w:jc w:val="center"/>
      </w:pPr>
      <w:r>
        <w:rPr>
          <w:rFonts w:ascii="Arial" w:cs="Arial" w:eastAsia="Arial" w:hAnsi="Arial"/>
          <w:b/>
          <w:bCs/>
          <w:sz w:val="32"/>
          <w:szCs w:val="32"/>
        </w:rPr>
        <w:t xml:space="preserve">СРЕДНЕСРОЧНЫЙ ПРОГНОЗ
 объема оказанных рыночных услуг в Кыргызской Республике на 2017-2019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997"/>
        <w:gridCol w:w="1160"/>
        <w:gridCol w:w="1005"/>
        <w:gridCol w:w="1005"/>
        <w:gridCol w:w="1005"/>
        <w:gridCol w:w="1005"/>
      </w:tblGrid>
      <w:tr>
        <w:tc>
          <w:tcPr>
            <w:tcW w:type="dxa" w:w="4997"/>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16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год</w:t>
            </w:r>
          </w:p>
        </w:tc>
        <w:tc>
          <w:tcPr>
            <w:tcW w:type="dxa" w:w="100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год</w:t>
            </w:r>
          </w:p>
        </w:tc>
        <w:tc>
          <w:tcPr>
            <w:tcW w:type="dxa" w:w="100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год</w:t>
            </w:r>
          </w:p>
        </w:tc>
        <w:tc>
          <w:tcPr>
            <w:tcW w:type="dxa" w:w="100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w:t>
            </w:r>
          </w:p>
        </w:tc>
        <w:tc>
          <w:tcPr>
            <w:tcW w:type="dxa" w:w="100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год</w:t>
            </w:r>
          </w:p>
        </w:tc>
      </w:tr>
      <w:tr>
        <w:tc>
          <w:tcPr>
            <w:vMerge w:val="continue"/>
            <w:tcBorders>
              <w:top w:val="single" w:color="CBBF9E" w:sz="4"/>
              <w:left w:val="single" w:color="CBBF9E" w:sz="4"/>
              <w:bottom w:val="single" w:color="CBBF9E" w:sz="4"/>
              <w:right w:val="single" w:color="CBBF9E" w:sz="4"/>
            </w:tcBorders>
          </w:tcP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предв. факт</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r>
      <w:tr>
        <w:tc>
          <w:tcPr>
            <w:tcW w:type="dxa" w:w="49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Объем оказанных рыночных услуг, млн. сомов</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568724,0</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627520,2</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715271,1</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808947,6</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902975,8</w:t>
            </w:r>
          </w:p>
        </w:tc>
      </w:tr>
      <w:tr>
        <w:tc>
          <w:tcPr>
            <w:tcW w:type="dxa" w:w="49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106,7</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r>
      <w:tr>
        <w:tc>
          <w:tcPr>
            <w:tcW w:type="dxa" w:w="49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107,3</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w:t>
            </w:r>
          </w:p>
        </w:tc>
      </w:tr>
      <w:tr>
        <w:tc>
          <w:tcPr>
            <w:tcW w:type="dxa" w:w="49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Оптовая и розничная торговля; ремонт автомобилей и мотоциклов, млн. сомов</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428072,9</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475712,0</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549484,1</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627788,1</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706083,2</w:t>
            </w:r>
          </w:p>
        </w:tc>
      </w:tr>
      <w:tr>
        <w:tc>
          <w:tcPr>
            <w:tcW w:type="dxa" w:w="49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106,9</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107,3</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107,6</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r>
      <w:tr>
        <w:tc>
          <w:tcPr>
            <w:tcW w:type="dxa" w:w="49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107,6</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106,3</w:t>
            </w:r>
          </w:p>
        </w:tc>
      </w:tr>
      <w:tr>
        <w:tc>
          <w:tcPr>
            <w:tcW w:type="dxa" w:w="49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Гостиницы и рестораны, млн. сомов</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19799,6</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22499,2</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26111,2</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30492,6</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35008,9</w:t>
            </w:r>
          </w:p>
        </w:tc>
      </w:tr>
      <w:tr>
        <w:tc>
          <w:tcPr>
            <w:tcW w:type="dxa" w:w="49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108,9</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106,9</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107,1</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109,1</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107,3</w:t>
            </w:r>
          </w:p>
        </w:tc>
      </w:tr>
      <w:tr>
        <w:tc>
          <w:tcPr>
            <w:tcW w:type="dxa" w:w="49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106,3</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108,3</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w:t>
            </w:r>
          </w:p>
        </w:tc>
      </w:tr>
      <w:tr>
        <w:tc>
          <w:tcPr>
            <w:tcW w:type="dxa" w:w="49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Информация и связь, млн. сомов</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33598,6</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35396,8</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36527,8</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37498,3</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38289,9</w:t>
            </w:r>
          </w:p>
        </w:tc>
      </w:tr>
      <w:tr>
        <w:tc>
          <w:tcPr>
            <w:tcW w:type="dxa" w:w="49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r>
      <w:tr>
        <w:tc>
          <w:tcPr>
            <w:tcW w:type="dxa" w:w="49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r>
      <w:tr>
        <w:tc>
          <w:tcPr>
            <w:tcW w:type="dxa" w:w="49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Прочие, млн. сомов</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87252,9</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93912,2</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103148,0</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113168,7</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123593,9</w:t>
            </w:r>
          </w:p>
        </w:tc>
      </w:tr>
      <w:tr>
        <w:tc>
          <w:tcPr>
            <w:tcW w:type="dxa" w:w="49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r>
      <w:tr>
        <w:tc>
          <w:tcPr>
            <w:tcW w:type="dxa" w:w="49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106,4</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107,3</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106,4</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11
 к Среднесрочному прогнозу социально-экономического развития Кыргызской Республики на 2017-2019 годы</w:t>
      </w:r>
    </w:p>
    <w:p>
      <w:pPr>
        <w:spacing w:after="400" w:before="400"/>
        <w:jc w:val="center"/>
      </w:pPr>
      <w:r>
        <w:rPr>
          <w:rFonts w:ascii="Arial" w:cs="Arial" w:eastAsia="Arial" w:hAnsi="Arial"/>
          <w:b/>
          <w:bCs/>
          <w:sz w:val="32"/>
          <w:szCs w:val="32"/>
        </w:rPr>
        <w:t xml:space="preserve">СРЕДНЕСРОЧНЫЙ ПРОГНОЗ
 объема инвестиций в основной капитал в Кыргызской Республике на 2017-2019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74"/>
        <w:gridCol w:w="1085"/>
        <w:gridCol w:w="979"/>
        <w:gridCol w:w="979"/>
        <w:gridCol w:w="1030"/>
        <w:gridCol w:w="1030"/>
      </w:tblGrid>
      <w:tr>
        <w:tc>
          <w:tcPr>
            <w:tcW w:type="dxa" w:w="5074"/>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08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год</w:t>
            </w:r>
          </w:p>
        </w:tc>
        <w:tc>
          <w:tcPr>
            <w:tcW w:type="dxa" w:w="97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год</w:t>
            </w:r>
          </w:p>
        </w:tc>
        <w:tc>
          <w:tcPr>
            <w:tcW w:type="dxa" w:w="97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год</w:t>
            </w:r>
          </w:p>
        </w:tc>
        <w:tc>
          <w:tcPr>
            <w:tcW w:type="dxa" w:w="103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w:t>
            </w:r>
          </w:p>
        </w:tc>
        <w:tc>
          <w:tcPr>
            <w:tcW w:type="dxa" w:w="103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год</w:t>
            </w:r>
          </w:p>
        </w:tc>
      </w:tr>
      <w:tr>
        <w:tc>
          <w:tcPr>
            <w:vMerge w:val="continue"/>
            <w:tcBorders>
              <w:top w:val="single" w:color="CBBF9E" w:sz="4"/>
              <w:left w:val="single" w:color="CBBF9E" w:sz="4"/>
              <w:bottom w:val="single" w:color="CBBF9E" w:sz="4"/>
              <w:right w:val="single" w:color="CBBF9E" w:sz="4"/>
            </w:tcBorders>
          </w:tcP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предв. факт</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r>
      <w:tr>
        <w:tc>
          <w:tcPr>
            <w:tcW w:type="dxa" w:w="50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Инвестиции в основной капитал, млн. сомов</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120878,9</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143881,8</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174294,9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203860,6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236841,7</w:t>
            </w:r>
          </w:p>
        </w:tc>
      </w:tr>
      <w:tr>
        <w:tc>
          <w:tcPr>
            <w:tcW w:type="dxa" w:w="50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113,6</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110,1</w:t>
            </w:r>
          </w:p>
        </w:tc>
      </w:tr>
      <w:tr>
        <w:tc>
          <w:tcPr>
            <w:tcW w:type="dxa" w:w="50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Внутренние инвестиции</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69826,6</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80680,6</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95527,0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107210,3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119253,1</w:t>
            </w:r>
          </w:p>
        </w:tc>
      </w:tr>
      <w:tr>
        <w:tc>
          <w:tcPr>
            <w:tcW w:type="dxa" w:w="50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110,3</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w:t>
            </w:r>
          </w:p>
        </w:tc>
      </w:tr>
      <w:tr>
        <w:tc>
          <w:tcPr>
            <w:tcW w:type="dxa" w:w="50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 (включая средства на чрезвычайные ситуации)</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4374,2</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4760,9</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4700,0</w:t>
            </w:r>
          </w:p>
        </w:tc>
      </w:tr>
      <w:tr>
        <w:tc>
          <w:tcPr>
            <w:tcW w:type="dxa" w:w="50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Местный бюджет</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1219,9</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1323,4</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1429,9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1539,9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1653,4</w:t>
            </w:r>
          </w:p>
        </w:tc>
      </w:tr>
      <w:tr>
        <w:tc>
          <w:tcPr>
            <w:tcW w:type="dxa" w:w="50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Средства предприятий и организаций</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36829,5</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44031,6</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53203,7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59289,8</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65965,0</w:t>
            </w:r>
          </w:p>
        </w:tc>
      </w:tr>
      <w:tr>
        <w:tc>
          <w:tcPr>
            <w:tcW w:type="dxa" w:w="50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Кредиты банков</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1072,0</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1198,2</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1299,8</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1382,8</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1474,2</w:t>
            </w:r>
          </w:p>
        </w:tc>
      </w:tr>
      <w:tr>
        <w:tc>
          <w:tcPr>
            <w:tcW w:type="dxa" w:w="50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Средства населения и благотворительная помощь резидентов Кыргызской Республики</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26331,0</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29366,5</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35093,6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40497,8</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45460,5</w:t>
            </w:r>
          </w:p>
        </w:tc>
      </w:tr>
      <w:tr>
        <w:tc>
          <w:tcPr>
            <w:tcW w:type="dxa" w:w="50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Внешние инвестиции</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51052,3</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63201,2</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78767,9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96650,3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117588,6</w:t>
            </w:r>
          </w:p>
        </w:tc>
      </w:tr>
      <w:tr>
        <w:tc>
          <w:tcPr>
            <w:tcW w:type="dxa" w:w="50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116,3</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118,1</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115,3</w:t>
            </w:r>
          </w:p>
        </w:tc>
      </w:tr>
      <w:tr>
        <w:tc>
          <w:tcPr>
            <w:tcW w:type="dxa" w:w="50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Иностранные кредиты</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37048,7</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47549,3</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60312,3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73343,4</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88799,2</w:t>
            </w:r>
          </w:p>
        </w:tc>
      </w:tr>
      <w:tr>
        <w:tc>
          <w:tcPr>
            <w:tcW w:type="dxa" w:w="50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Прямые иностранные инвестиции</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11840,3</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12910,5</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15345,5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19898,9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25071,2</w:t>
            </w:r>
          </w:p>
        </w:tc>
      </w:tr>
      <w:tr>
        <w:tc>
          <w:tcPr>
            <w:tcW w:type="dxa" w:w="50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Иностранные гранты и гуманитарная помощь</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2163,3</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2741,4</w:t>
            </w:r>
          </w:p>
        </w:tc>
        <w:tc>
          <w:tcPr>
            <w:tcW w:type="dxa" w:w="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3110,1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3408,0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3718,2</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12
 к Среднесрочному прогнозу социально-экономического развития Кыргызской Республики на 2017-2019 годы</w:t>
      </w:r>
    </w:p>
    <w:p>
      <w:pPr>
        <w:spacing w:after="400" w:before="400"/>
        <w:jc w:val="center"/>
      </w:pPr>
      <w:r>
        <w:rPr>
          <w:rFonts w:ascii="Arial" w:cs="Arial" w:eastAsia="Arial" w:hAnsi="Arial"/>
          <w:b/>
          <w:bCs/>
          <w:sz w:val="32"/>
          <w:szCs w:val="32"/>
        </w:rPr>
        <w:t xml:space="preserve">СРЕДНЕСРОЧНЫЙ ПРОГНОЗ
 экспорта и импорта товаров в Кыргызской Республике на 2017-2019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52"/>
        <w:gridCol w:w="1899"/>
        <w:gridCol w:w="1211"/>
        <w:gridCol w:w="946"/>
        <w:gridCol w:w="957"/>
        <w:gridCol w:w="957"/>
        <w:gridCol w:w="957"/>
      </w:tblGrid>
      <w:tr>
        <w:tc>
          <w:tcPr>
            <w:tcW w:type="dxa" w:w="325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89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Единица измерения</w:t>
            </w:r>
          </w:p>
        </w:tc>
        <w:tc>
          <w:tcPr>
            <w:tcW w:type="dxa" w:w="121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год</w:t>
            </w:r>
          </w:p>
        </w:tc>
        <w:tc>
          <w:tcPr>
            <w:tcW w:type="dxa" w:w="94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год</w:t>
            </w:r>
          </w:p>
        </w:tc>
        <w:tc>
          <w:tcPr>
            <w:tcW w:type="dxa" w:w="95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год</w:t>
            </w:r>
          </w:p>
        </w:tc>
        <w:tc>
          <w:tcPr>
            <w:tcW w:type="dxa" w:w="95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w:t>
            </w:r>
          </w:p>
        </w:tc>
        <w:tc>
          <w:tcPr>
            <w:tcW w:type="dxa" w:w="95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1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предв. факт</w:t>
            </w:r>
          </w:p>
        </w:tc>
        <w:tc>
          <w:tcPr>
            <w:tcW w:type="dxa" w:w="9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r>
      <w:tr>
        <w:tc>
          <w:tcPr>
            <w:tcW w:type="dxa" w:w="3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Экспорт товаров</w:t>
            </w:r>
          </w:p>
        </w:tc>
        <w:tc>
          <w:tcPr>
            <w:tcW w:type="dxa" w:w="1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1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1676,3</w:t>
            </w:r>
          </w:p>
        </w:tc>
        <w:tc>
          <w:tcPr>
            <w:tcW w:type="dxa" w:w="9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1700,0</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1950,0</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2000,0</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2100,0</w:t>
            </w:r>
          </w:p>
        </w:tc>
      </w:tr>
      <w:tr>
        <w:tc>
          <w:tcPr>
            <w:tcW w:type="dxa" w:w="3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89,0</w:t>
            </w:r>
          </w:p>
        </w:tc>
        <w:tc>
          <w:tcPr>
            <w:tcW w:type="dxa" w:w="9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114,7</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r>
      <w:tr>
        <w:tc>
          <w:tcPr>
            <w:tcW w:type="dxa" w:w="3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Импорт товаров</w:t>
            </w:r>
          </w:p>
        </w:tc>
        <w:tc>
          <w:tcPr>
            <w:tcW w:type="dxa" w:w="1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1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4069,5</w:t>
            </w:r>
          </w:p>
        </w:tc>
        <w:tc>
          <w:tcPr>
            <w:tcW w:type="dxa" w:w="9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4100,0</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4200,0</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4300,0</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4400,0</w:t>
            </w:r>
          </w:p>
        </w:tc>
      </w:tr>
      <w:tr>
        <w:tc>
          <w:tcPr>
            <w:tcW w:type="dxa" w:w="3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71,0</w:t>
            </w:r>
          </w:p>
        </w:tc>
        <w:tc>
          <w:tcPr>
            <w:tcW w:type="dxa" w:w="9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r>
      <w:tr>
        <w:tc>
          <w:tcPr>
            <w:tcW w:type="dxa" w:w="3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Сальдо экспорта и импорта товаров</w:t>
            </w:r>
          </w:p>
        </w:tc>
        <w:tc>
          <w:tcPr>
            <w:tcW w:type="dxa" w:w="1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1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-2393,2</w:t>
            </w:r>
          </w:p>
        </w:tc>
        <w:tc>
          <w:tcPr>
            <w:tcW w:type="dxa" w:w="9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-2400,0</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-2250,0</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-2300,0</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-2300,0</w:t>
            </w:r>
          </w:p>
        </w:tc>
      </w:tr>
      <w:tr>
        <w:tc>
          <w:tcPr>
            <w:tcW w:type="dxa" w:w="3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62,1</w:t>
            </w:r>
          </w:p>
        </w:tc>
        <w:tc>
          <w:tcPr>
            <w:tcW w:type="dxa" w:w="9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100,3</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93,8</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3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Внешнеторговый оборот</w:t>
            </w:r>
          </w:p>
        </w:tc>
        <w:tc>
          <w:tcPr>
            <w:tcW w:type="dxa" w:w="1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долл. США</w:t>
            </w:r>
          </w:p>
        </w:tc>
        <w:tc>
          <w:tcPr>
            <w:tcW w:type="dxa" w:w="1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5745,8</w:t>
            </w:r>
          </w:p>
        </w:tc>
        <w:tc>
          <w:tcPr>
            <w:tcW w:type="dxa" w:w="9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5800,0</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6150,0</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6300,0</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6500,0</w:t>
            </w:r>
          </w:p>
        </w:tc>
      </w:tr>
      <w:tr>
        <w:tc>
          <w:tcPr>
            <w:tcW w:type="dxa" w:w="3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75,4</w:t>
            </w:r>
          </w:p>
        </w:tc>
        <w:tc>
          <w:tcPr>
            <w:tcW w:type="dxa" w:w="9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100,9</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13
 к Среднесрочному прогнозу социально-экономического развития Кыргызской Республики на 2017-2019 годы</w:t>
      </w:r>
    </w:p>
    <w:p>
      <w:pPr>
        <w:spacing w:after="400" w:before="400"/>
        <w:jc w:val="center"/>
      </w:pPr>
      <w:r>
        <w:rPr>
          <w:rFonts w:ascii="Arial" w:cs="Arial" w:eastAsia="Arial" w:hAnsi="Arial"/>
          <w:b/>
          <w:bCs/>
          <w:sz w:val="32"/>
          <w:szCs w:val="32"/>
        </w:rPr>
        <w:t xml:space="preserve">СРЕДНЕСРОЧНЫЙ ПРОГНОЗ
 экспорта основных видов продукции из Кыргызской Республики на 2017-2019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748"/>
        <w:gridCol w:w="1696"/>
        <w:gridCol w:w="928"/>
        <w:gridCol w:w="999"/>
        <w:gridCol w:w="928"/>
        <w:gridCol w:w="951"/>
        <w:gridCol w:w="928"/>
      </w:tblGrid>
      <w:tr>
        <w:tc>
          <w:tcPr>
            <w:tcW w:type="dxa" w:w="3748"/>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69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Единица измерения</w:t>
            </w:r>
          </w:p>
        </w:tc>
        <w:tc>
          <w:tcPr>
            <w:tcW w:type="dxa" w:w="92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год</w:t>
            </w:r>
          </w:p>
        </w:tc>
        <w:tc>
          <w:tcPr>
            <w:tcW w:type="dxa" w:w="99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год</w:t>
            </w:r>
          </w:p>
        </w:tc>
        <w:tc>
          <w:tcPr>
            <w:tcW w:type="dxa" w:w="92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год</w:t>
            </w:r>
          </w:p>
        </w:tc>
        <w:tc>
          <w:tcPr>
            <w:tcW w:type="dxa" w:w="95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w:t>
            </w:r>
          </w:p>
        </w:tc>
        <w:tc>
          <w:tcPr>
            <w:tcW w:type="dxa" w:w="92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предв. факт</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95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r>
      <w:tr>
        <w:tc>
          <w:tcPr>
            <w:tcW w:type="dxa" w:w="37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Экспорт товаров</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1676,3</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1700,0</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1950,0</w:t>
            </w:r>
          </w:p>
        </w:tc>
        <w:tc>
          <w:tcPr>
            <w:tcW w:type="dxa" w:w="9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2000,0</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2100,0</w:t>
            </w:r>
          </w:p>
        </w:tc>
      </w:tr>
      <w:tr>
        <w:tc>
          <w:tcPr>
            <w:tcW w:type="dxa" w:w="37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89,0</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114,7</w:t>
            </w:r>
          </w:p>
        </w:tc>
        <w:tc>
          <w:tcPr>
            <w:tcW w:type="dxa" w:w="9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r>
      <w:tr>
        <w:tc>
          <w:tcPr>
            <w:tcW w:type="dxa" w:w="37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золото</w:t>
            </w:r>
            <w:r>
              <w:rPr>
                <w:rFonts w:ascii="Arial" w:cs="Arial" w:eastAsia="Arial" w:hAnsi="Arial"/>
                <w:sz w:val="24"/>
                <w:szCs w:val="24"/>
              </w:rPr>
              <w:t xml:space="preserve">*</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665,4</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634,2</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618,6</w:t>
            </w:r>
          </w:p>
        </w:tc>
        <w:tc>
          <w:tcPr>
            <w:tcW w:type="dxa" w:w="9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591,1</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630,6</w:t>
            </w:r>
          </w:p>
        </w:tc>
      </w:tr>
      <w:tr>
        <w:tc>
          <w:tcPr>
            <w:tcW w:type="dxa" w:w="37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92,8</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95,3</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97,5</w:t>
            </w:r>
          </w:p>
        </w:tc>
        <w:tc>
          <w:tcPr>
            <w:tcW w:type="dxa" w:w="9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95,6</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106,7</w:t>
            </w:r>
          </w:p>
        </w:tc>
      </w:tr>
      <w:tr>
        <w:tc>
          <w:tcPr>
            <w:tcW w:type="dxa" w:w="37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сурьма и изделия из нее(*)</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w:t>
            </w:r>
          </w:p>
        </w:tc>
        <w:tc>
          <w:tcPr>
            <w:tcW w:type="dxa" w:w="9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w:t>
            </w:r>
          </w:p>
        </w:tc>
      </w:tr>
      <w:tr>
        <w:tc>
          <w:tcPr>
            <w:tcW w:type="dxa" w:w="37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469,5</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160,0</w:t>
            </w:r>
          </w:p>
        </w:tc>
        <w:tc>
          <w:tcPr>
            <w:tcW w:type="dxa" w:w="9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37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лампы накаливания</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16,1</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16,6</w:t>
            </w:r>
          </w:p>
        </w:tc>
        <w:tc>
          <w:tcPr>
            <w:tcW w:type="dxa" w:w="9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w:t>
            </w:r>
          </w:p>
        </w:tc>
      </w:tr>
      <w:tr>
        <w:tc>
          <w:tcPr>
            <w:tcW w:type="dxa" w:w="37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79,9</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9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37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стекло листовое</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w:t>
            </w:r>
          </w:p>
        </w:tc>
        <w:tc>
          <w:tcPr>
            <w:tcW w:type="dxa" w:w="9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w:t>
            </w:r>
          </w:p>
        </w:tc>
      </w:tr>
      <w:tr>
        <w:tc>
          <w:tcPr>
            <w:tcW w:type="dxa" w:w="37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42,7</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106,4</w:t>
            </w:r>
          </w:p>
        </w:tc>
        <w:tc>
          <w:tcPr>
            <w:tcW w:type="dxa" w:w="9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107,1</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111,1</w:t>
            </w:r>
          </w:p>
        </w:tc>
      </w:tr>
      <w:tr>
        <w:tc>
          <w:tcPr>
            <w:tcW w:type="dxa" w:w="37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цемент</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w:t>
            </w:r>
          </w:p>
        </w:tc>
        <w:tc>
          <w:tcPr>
            <w:tcW w:type="dxa" w:w="9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w:t>
            </w:r>
          </w:p>
        </w:tc>
      </w:tr>
      <w:tr>
        <w:tc>
          <w:tcPr>
            <w:tcW w:type="dxa" w:w="37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432,9</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w:t>
            </w:r>
          </w:p>
        </w:tc>
        <w:tc>
          <w:tcPr>
            <w:tcW w:type="dxa" w:w="9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r>
      <w:tr>
        <w:tc>
          <w:tcPr>
            <w:tcW w:type="dxa" w:w="37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предметы одежды и одежные принадлежности</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40,5</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41,0</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41,0</w:t>
            </w:r>
          </w:p>
        </w:tc>
        <w:tc>
          <w:tcPr>
            <w:tcW w:type="dxa" w:w="9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46,0</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53,0</w:t>
            </w:r>
          </w:p>
        </w:tc>
      </w:tr>
      <w:tr>
        <w:tc>
          <w:tcPr>
            <w:tcW w:type="dxa" w:w="37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40,7</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9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112,2</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115,2</w:t>
            </w:r>
          </w:p>
        </w:tc>
      </w:tr>
      <w:tr>
        <w:tc>
          <w:tcPr>
            <w:tcW w:type="dxa" w:w="37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электроэнергия</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0,027</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0,057</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0,054</w:t>
            </w:r>
          </w:p>
        </w:tc>
        <w:tc>
          <w:tcPr>
            <w:tcW w:type="dxa" w:w="9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0,052</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56,5</w:t>
            </w:r>
          </w:p>
        </w:tc>
      </w:tr>
      <w:tr>
        <w:tc>
          <w:tcPr>
            <w:tcW w:type="dxa" w:w="37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211,1</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94,7</w:t>
            </w:r>
          </w:p>
        </w:tc>
        <w:tc>
          <w:tcPr>
            <w:tcW w:type="dxa" w:w="9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96,3</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 р.</w:t>
            </w:r>
          </w:p>
        </w:tc>
      </w:tr>
      <w:tr>
        <w:tc>
          <w:tcPr>
            <w:tcW w:type="dxa" w:w="37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овощи и фрукты</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113,4</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120,5</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137,9</w:t>
            </w:r>
          </w:p>
        </w:tc>
        <w:tc>
          <w:tcPr>
            <w:tcW w:type="dxa" w:w="9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150,8</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161,3</w:t>
            </w:r>
          </w:p>
        </w:tc>
      </w:tr>
      <w:tr>
        <w:tc>
          <w:tcPr>
            <w:tcW w:type="dxa" w:w="37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67,5</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114,5</w:t>
            </w:r>
          </w:p>
        </w:tc>
        <w:tc>
          <w:tcPr>
            <w:tcW w:type="dxa" w:w="9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109,3</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w:t>
            </w:r>
          </w:p>
        </w:tc>
      </w:tr>
      <w:tr>
        <w:tc>
          <w:tcPr>
            <w:tcW w:type="dxa" w:w="37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хлопок-волокно</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15,9</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19,3</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22,2</w:t>
            </w:r>
          </w:p>
        </w:tc>
        <w:tc>
          <w:tcPr>
            <w:tcW w:type="dxa" w:w="9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22,5</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22,8</w:t>
            </w:r>
          </w:p>
        </w:tc>
      </w:tr>
      <w:tr>
        <w:tc>
          <w:tcPr>
            <w:tcW w:type="dxa" w:w="37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66,0</w:t>
            </w:r>
          </w:p>
        </w:tc>
        <w:tc>
          <w:tcPr>
            <w:tcW w:type="dxa" w:w="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121,6</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115,0</w:t>
            </w:r>
          </w:p>
        </w:tc>
        <w:tc>
          <w:tcPr>
            <w:tcW w:type="dxa" w:w="9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14
 к Среднесрочному прогнозу социально-экономического развития Кыргызской Республики на 2017-2019 годы</w:t>
      </w:r>
    </w:p>
    <w:p>
      <w:pPr>
        <w:spacing w:after="400" w:before="400"/>
        <w:jc w:val="center"/>
      </w:pPr>
      <w:r>
        <w:rPr>
          <w:rFonts w:ascii="Arial" w:cs="Arial" w:eastAsia="Arial" w:hAnsi="Arial"/>
          <w:b/>
          <w:bCs/>
          <w:sz w:val="32"/>
          <w:szCs w:val="32"/>
        </w:rPr>
        <w:t xml:space="preserve">СРЕДНЕСРОЧНЫЙ ПРОГНОЗ
 импорта основных товаров в Кыргызскую Республику на 2017-2019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791"/>
        <w:gridCol w:w="1651"/>
        <w:gridCol w:w="1012"/>
        <w:gridCol w:w="859"/>
        <w:gridCol w:w="955"/>
        <w:gridCol w:w="955"/>
        <w:gridCol w:w="955"/>
      </w:tblGrid>
      <w:tr>
        <w:tc>
          <w:tcPr>
            <w:tcW w:type="dxa" w:w="3791"/>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65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Единица измерения</w:t>
            </w:r>
          </w:p>
        </w:tc>
        <w:tc>
          <w:tcPr>
            <w:tcW w:type="dxa" w:w="101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год</w:t>
            </w:r>
          </w:p>
        </w:tc>
        <w:tc>
          <w:tcPr>
            <w:tcW w:type="dxa" w:w="85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год</w:t>
            </w:r>
          </w:p>
        </w:tc>
        <w:tc>
          <w:tcPr>
            <w:tcW w:type="dxa" w:w="95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год</w:t>
            </w:r>
          </w:p>
        </w:tc>
        <w:tc>
          <w:tcPr>
            <w:tcW w:type="dxa" w:w="95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w:t>
            </w:r>
          </w:p>
        </w:tc>
        <w:tc>
          <w:tcPr>
            <w:tcW w:type="dxa" w:w="95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01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предв. факт</w:t>
            </w:r>
          </w:p>
        </w:tc>
        <w:tc>
          <w:tcPr>
            <w:tcW w:type="dxa" w:w="85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r>
      <w:tr>
        <w:tc>
          <w:tcPr>
            <w:tcW w:type="dxa" w:w="379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Импорт товаров всего</w:t>
            </w:r>
          </w:p>
        </w:tc>
        <w:tc>
          <w:tcPr>
            <w:tcW w:type="dxa" w:w="16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10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4069,5</w:t>
            </w:r>
          </w:p>
        </w:tc>
        <w:tc>
          <w:tcPr>
            <w:tcW w:type="dxa" w:w="8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4100,0</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4200,0</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4300,0</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4400,0</w:t>
            </w:r>
          </w:p>
        </w:tc>
      </w:tr>
      <w:tr>
        <w:tc>
          <w:tcPr>
            <w:tcW w:type="dxa" w:w="37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6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71,0</w:t>
            </w:r>
          </w:p>
        </w:tc>
        <w:tc>
          <w:tcPr>
            <w:tcW w:type="dxa" w:w="8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r>
      <w:tr>
        <w:tc>
          <w:tcPr>
            <w:tcW w:type="dxa" w:w="37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нефтепродукты</w:t>
            </w:r>
          </w:p>
        </w:tc>
        <w:tc>
          <w:tcPr>
            <w:tcW w:type="dxa" w:w="16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10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658,6</w:t>
            </w:r>
          </w:p>
        </w:tc>
        <w:tc>
          <w:tcPr>
            <w:tcW w:type="dxa" w:w="8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733,5</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742,5</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751,5</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760,5</w:t>
            </w:r>
          </w:p>
        </w:tc>
      </w:tr>
      <w:tr>
        <w:tc>
          <w:tcPr>
            <w:tcW w:type="dxa" w:w="37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6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62,1</w:t>
            </w:r>
          </w:p>
        </w:tc>
        <w:tc>
          <w:tcPr>
            <w:tcW w:type="dxa" w:w="8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111,4</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r>
      <w:tr>
        <w:tc>
          <w:tcPr>
            <w:tcW w:type="dxa" w:w="37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бензин</w:t>
            </w:r>
          </w:p>
        </w:tc>
        <w:tc>
          <w:tcPr>
            <w:tcW w:type="dxa" w:w="16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10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279,7</w:t>
            </w:r>
          </w:p>
        </w:tc>
        <w:tc>
          <w:tcPr>
            <w:tcW w:type="dxa" w:w="8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325,0</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330,0</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335,0</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340,0</w:t>
            </w:r>
          </w:p>
        </w:tc>
      </w:tr>
      <w:tr>
        <w:tc>
          <w:tcPr>
            <w:tcW w:type="dxa" w:w="37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6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61,1</w:t>
            </w:r>
          </w:p>
        </w:tc>
        <w:tc>
          <w:tcPr>
            <w:tcW w:type="dxa" w:w="8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116,2</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r>
      <w:tr>
        <w:tc>
          <w:tcPr>
            <w:tcW w:type="dxa" w:w="37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авиакеросин</w:t>
            </w:r>
          </w:p>
        </w:tc>
        <w:tc>
          <w:tcPr>
            <w:tcW w:type="dxa" w:w="16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10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51,6</w:t>
            </w:r>
          </w:p>
        </w:tc>
        <w:tc>
          <w:tcPr>
            <w:tcW w:type="dxa" w:w="8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54,7</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55,3</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55,8</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56,4</w:t>
            </w:r>
          </w:p>
        </w:tc>
      </w:tr>
      <w:tr>
        <w:tc>
          <w:tcPr>
            <w:tcW w:type="dxa" w:w="37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6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62,3</w:t>
            </w:r>
          </w:p>
        </w:tc>
        <w:tc>
          <w:tcPr>
            <w:tcW w:type="dxa" w:w="8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r>
      <w:tr>
        <w:tc>
          <w:tcPr>
            <w:tcW w:type="dxa" w:w="37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дизтопливо</w:t>
            </w:r>
          </w:p>
        </w:tc>
        <w:tc>
          <w:tcPr>
            <w:tcW w:type="dxa" w:w="16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10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216,9</w:t>
            </w:r>
          </w:p>
        </w:tc>
        <w:tc>
          <w:tcPr>
            <w:tcW w:type="dxa" w:w="8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243,8</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265,0</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270,3</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275,6</w:t>
            </w:r>
          </w:p>
        </w:tc>
      </w:tr>
      <w:tr>
        <w:tc>
          <w:tcPr>
            <w:tcW w:type="dxa" w:w="37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6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58,9</w:t>
            </w:r>
          </w:p>
        </w:tc>
        <w:tc>
          <w:tcPr>
            <w:tcW w:type="dxa" w:w="8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112,4</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108,7</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r>
      <w:tr>
        <w:tc>
          <w:tcPr>
            <w:tcW w:type="dxa" w:w="37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мазут</w:t>
            </w:r>
          </w:p>
        </w:tc>
        <w:tc>
          <w:tcPr>
            <w:tcW w:type="dxa" w:w="16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10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66,9</w:t>
            </w:r>
          </w:p>
        </w:tc>
        <w:tc>
          <w:tcPr>
            <w:tcW w:type="dxa" w:w="8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65,1</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65,4</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65,7</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66,1</w:t>
            </w:r>
          </w:p>
        </w:tc>
      </w:tr>
      <w:tr>
        <w:tc>
          <w:tcPr>
            <w:tcW w:type="dxa" w:w="37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6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8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97,3</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w:t>
            </w:r>
          </w:p>
        </w:tc>
      </w:tr>
      <w:tr>
        <w:tc>
          <w:tcPr>
            <w:tcW w:type="dxa" w:w="37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уголь</w:t>
            </w:r>
          </w:p>
        </w:tc>
        <w:tc>
          <w:tcPr>
            <w:tcW w:type="dxa" w:w="16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10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40,3</w:t>
            </w:r>
          </w:p>
        </w:tc>
        <w:tc>
          <w:tcPr>
            <w:tcW w:type="dxa" w:w="8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42,1</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40,5</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38,9</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37,3</w:t>
            </w:r>
          </w:p>
        </w:tc>
      </w:tr>
      <w:tr>
        <w:tc>
          <w:tcPr>
            <w:tcW w:type="dxa" w:w="37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6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87,6</w:t>
            </w:r>
          </w:p>
        </w:tc>
        <w:tc>
          <w:tcPr>
            <w:tcW w:type="dxa" w:w="8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96,2</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96,0</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95,8</w:t>
            </w:r>
          </w:p>
        </w:tc>
      </w:tr>
      <w:tr>
        <w:tc>
          <w:tcPr>
            <w:tcW w:type="dxa" w:w="37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газ природный</w:t>
            </w:r>
          </w:p>
        </w:tc>
        <w:tc>
          <w:tcPr>
            <w:tcW w:type="dxa" w:w="16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10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40,2</w:t>
            </w:r>
          </w:p>
        </w:tc>
        <w:tc>
          <w:tcPr>
            <w:tcW w:type="dxa" w:w="8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57,2</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63,4</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66,3</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88,3</w:t>
            </w:r>
          </w:p>
        </w:tc>
      </w:tr>
      <w:tr>
        <w:tc>
          <w:tcPr>
            <w:tcW w:type="dxa" w:w="37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6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79,6</w:t>
            </w:r>
          </w:p>
        </w:tc>
        <w:tc>
          <w:tcPr>
            <w:tcW w:type="dxa" w:w="8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142,3</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110,8</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133,2</w:t>
            </w:r>
          </w:p>
        </w:tc>
      </w:tr>
      <w:tr>
        <w:tc>
          <w:tcPr>
            <w:tcW w:type="dxa" w:w="37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электроэнергия</w:t>
            </w:r>
          </w:p>
        </w:tc>
        <w:tc>
          <w:tcPr>
            <w:tcW w:type="dxa" w:w="16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10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34,5</w:t>
            </w:r>
          </w:p>
        </w:tc>
        <w:tc>
          <w:tcPr>
            <w:tcW w:type="dxa" w:w="8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47,7</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45,7</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r>
      <w:tr>
        <w:tc>
          <w:tcPr>
            <w:tcW w:type="dxa" w:w="37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6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785,5</w:t>
            </w:r>
          </w:p>
        </w:tc>
        <w:tc>
          <w:tcPr>
            <w:tcW w:type="dxa" w:w="8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144,9</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95,4</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95,8</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r>
      <w:tr>
        <w:tc>
          <w:tcPr>
            <w:tcW w:type="dxa" w:w="37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машины, специально предназначенные для конкретных отраслей</w:t>
            </w:r>
          </w:p>
        </w:tc>
        <w:tc>
          <w:tcPr>
            <w:tcW w:type="dxa" w:w="16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10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358,7</w:t>
            </w:r>
          </w:p>
        </w:tc>
        <w:tc>
          <w:tcPr>
            <w:tcW w:type="dxa" w:w="8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360,0</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365,0</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375,0</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385,0</w:t>
            </w:r>
          </w:p>
        </w:tc>
      </w:tr>
      <w:tr>
        <w:tc>
          <w:tcPr>
            <w:tcW w:type="dxa" w:w="37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6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95,0</w:t>
            </w:r>
          </w:p>
        </w:tc>
        <w:tc>
          <w:tcPr>
            <w:tcW w:type="dxa" w:w="8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r>
      <w:tr>
        <w:tc>
          <w:tcPr>
            <w:tcW w:type="dxa" w:w="37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электрические машины, оборудование и аппаратуры</w:t>
            </w:r>
          </w:p>
        </w:tc>
        <w:tc>
          <w:tcPr>
            <w:tcW w:type="dxa" w:w="16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10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172,1</w:t>
            </w:r>
          </w:p>
        </w:tc>
        <w:tc>
          <w:tcPr>
            <w:tcW w:type="dxa" w:w="8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175,0</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180,0</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185,0</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190,0</w:t>
            </w:r>
          </w:p>
        </w:tc>
      </w:tr>
      <w:tr>
        <w:tc>
          <w:tcPr>
            <w:tcW w:type="dxa" w:w="37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6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79,8</w:t>
            </w:r>
          </w:p>
        </w:tc>
        <w:tc>
          <w:tcPr>
            <w:tcW w:type="dxa" w:w="8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r>
      <w:tr>
        <w:tc>
          <w:tcPr>
            <w:tcW w:type="dxa" w:w="37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средства наземного транспорта</w:t>
            </w:r>
          </w:p>
        </w:tc>
        <w:tc>
          <w:tcPr>
            <w:tcW w:type="dxa" w:w="16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10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205,8</w:t>
            </w:r>
          </w:p>
        </w:tc>
        <w:tc>
          <w:tcPr>
            <w:tcW w:type="dxa" w:w="8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206,0</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206,0</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208,0</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210,0</w:t>
            </w:r>
          </w:p>
        </w:tc>
      </w:tr>
      <w:tr>
        <w:tc>
          <w:tcPr>
            <w:tcW w:type="dxa" w:w="37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6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25,1</w:t>
            </w:r>
          </w:p>
        </w:tc>
        <w:tc>
          <w:tcPr>
            <w:tcW w:type="dxa" w:w="8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r>
      <w:tr>
        <w:tc>
          <w:tcPr>
            <w:tcW w:type="dxa" w:w="37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черные металлы и изделия из них</w:t>
            </w:r>
          </w:p>
        </w:tc>
        <w:tc>
          <w:tcPr>
            <w:tcW w:type="dxa" w:w="16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10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418,5</w:t>
            </w:r>
          </w:p>
        </w:tc>
        <w:tc>
          <w:tcPr>
            <w:tcW w:type="dxa" w:w="8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420,0</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422,0</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430,0</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440,0</w:t>
            </w:r>
          </w:p>
        </w:tc>
      </w:tr>
      <w:tr>
        <w:tc>
          <w:tcPr>
            <w:tcW w:type="dxa" w:w="37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6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106,7</w:t>
            </w:r>
          </w:p>
        </w:tc>
        <w:tc>
          <w:tcPr>
            <w:tcW w:type="dxa" w:w="8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r>
      <w:tr>
        <w:tc>
          <w:tcPr>
            <w:tcW w:type="dxa" w:w="37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пластмассы и изделия из них</w:t>
            </w:r>
          </w:p>
        </w:tc>
        <w:tc>
          <w:tcPr>
            <w:tcW w:type="dxa" w:w="16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10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122,5</w:t>
            </w:r>
          </w:p>
        </w:tc>
        <w:tc>
          <w:tcPr>
            <w:tcW w:type="dxa" w:w="8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125,0</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126,0</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130,0</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135,0</w:t>
            </w:r>
          </w:p>
        </w:tc>
      </w:tr>
      <w:tr>
        <w:tc>
          <w:tcPr>
            <w:tcW w:type="dxa" w:w="37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6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70,8</w:t>
            </w:r>
          </w:p>
        </w:tc>
        <w:tc>
          <w:tcPr>
            <w:tcW w:type="dxa" w:w="8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100,8</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r>
      <w:tr>
        <w:tc>
          <w:tcPr>
            <w:tcW w:type="dxa" w:w="37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каучук, резина и изделия из нее</w:t>
            </w:r>
          </w:p>
        </w:tc>
        <w:tc>
          <w:tcPr>
            <w:tcW w:type="dxa" w:w="16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10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45,1</w:t>
            </w:r>
          </w:p>
        </w:tc>
        <w:tc>
          <w:tcPr>
            <w:tcW w:type="dxa" w:w="8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46,0</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47,0</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49,0</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w:t>
            </w:r>
          </w:p>
        </w:tc>
      </w:tr>
      <w:tr>
        <w:tc>
          <w:tcPr>
            <w:tcW w:type="dxa" w:w="37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6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62,6</w:t>
            </w:r>
          </w:p>
        </w:tc>
        <w:tc>
          <w:tcPr>
            <w:tcW w:type="dxa" w:w="8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r>
      <w:tr>
        <w:tc>
          <w:tcPr>
            <w:tcW w:type="dxa" w:w="37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удобрения</w:t>
            </w:r>
          </w:p>
        </w:tc>
        <w:tc>
          <w:tcPr>
            <w:tcW w:type="dxa" w:w="16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10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38,7</w:t>
            </w:r>
          </w:p>
        </w:tc>
        <w:tc>
          <w:tcPr>
            <w:tcW w:type="dxa" w:w="8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41,0</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42,0</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43,0</w:t>
            </w:r>
          </w:p>
        </w:tc>
      </w:tr>
      <w:tr>
        <w:tc>
          <w:tcPr>
            <w:tcW w:type="dxa" w:w="37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6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55,1</w:t>
            </w:r>
          </w:p>
        </w:tc>
        <w:tc>
          <w:tcPr>
            <w:tcW w:type="dxa" w:w="8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r>
      <w:tr>
        <w:tc>
          <w:tcPr>
            <w:tcW w:type="dxa" w:w="37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лесоматериалы</w:t>
            </w:r>
          </w:p>
        </w:tc>
        <w:tc>
          <w:tcPr>
            <w:tcW w:type="dxa" w:w="16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10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68,8</w:t>
            </w:r>
          </w:p>
        </w:tc>
        <w:tc>
          <w:tcPr>
            <w:tcW w:type="dxa" w:w="8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71,0</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72,0</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73,0</w:t>
            </w:r>
          </w:p>
        </w:tc>
      </w:tr>
      <w:tr>
        <w:tc>
          <w:tcPr>
            <w:tcW w:type="dxa" w:w="37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6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46,5</w:t>
            </w:r>
          </w:p>
        </w:tc>
        <w:tc>
          <w:tcPr>
            <w:tcW w:type="dxa" w:w="8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r>
      <w:tr>
        <w:tc>
          <w:tcPr>
            <w:tcW w:type="dxa" w:w="37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бумага, картон и изделия из них</w:t>
            </w:r>
          </w:p>
        </w:tc>
        <w:tc>
          <w:tcPr>
            <w:tcW w:type="dxa" w:w="16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10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66,0</w:t>
            </w:r>
          </w:p>
        </w:tc>
        <w:tc>
          <w:tcPr>
            <w:tcW w:type="dxa" w:w="8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70,5</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68,3</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69,4</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w:t>
            </w:r>
          </w:p>
        </w:tc>
      </w:tr>
      <w:tr>
        <w:tc>
          <w:tcPr>
            <w:tcW w:type="dxa" w:w="37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6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63,9</w:t>
            </w:r>
          </w:p>
        </w:tc>
        <w:tc>
          <w:tcPr>
            <w:tcW w:type="dxa" w:w="8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106,8</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96,9</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r>
      <w:tr>
        <w:tc>
          <w:tcPr>
            <w:tcW w:type="dxa" w:w="37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фармацевтическая продукция</w:t>
            </w:r>
          </w:p>
        </w:tc>
        <w:tc>
          <w:tcPr>
            <w:tcW w:type="dxa" w:w="16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10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147,8</w:t>
            </w:r>
          </w:p>
        </w:tc>
        <w:tc>
          <w:tcPr>
            <w:tcW w:type="dxa" w:w="8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149,4</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153,7</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160,1</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166,5</w:t>
            </w:r>
          </w:p>
        </w:tc>
      </w:tr>
      <w:tr>
        <w:tc>
          <w:tcPr>
            <w:tcW w:type="dxa" w:w="37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6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74,1</w:t>
            </w:r>
          </w:p>
        </w:tc>
        <w:tc>
          <w:tcPr>
            <w:tcW w:type="dxa" w:w="8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r>
      <w:tr>
        <w:tc>
          <w:tcPr>
            <w:tcW w:type="dxa" w:w="37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продовольственные товары (включая сельхозсырье)</w:t>
            </w:r>
          </w:p>
        </w:tc>
        <w:tc>
          <w:tcPr>
            <w:tcW w:type="dxa" w:w="16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10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573,5</w:t>
            </w:r>
          </w:p>
        </w:tc>
        <w:tc>
          <w:tcPr>
            <w:tcW w:type="dxa" w:w="8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575,0</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580,0</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590,0</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r>
      <w:tr>
        <w:tc>
          <w:tcPr>
            <w:tcW w:type="dxa" w:w="37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6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68,0</w:t>
            </w:r>
          </w:p>
        </w:tc>
        <w:tc>
          <w:tcPr>
            <w:tcW w:type="dxa" w:w="8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100,3</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100,9</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r>
      <w:tr>
        <w:tc>
          <w:tcPr>
            <w:tcW w:type="dxa" w:w="37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алкогольная продукция</w:t>
            </w:r>
          </w:p>
        </w:tc>
        <w:tc>
          <w:tcPr>
            <w:tcW w:type="dxa" w:w="16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10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32,9</w:t>
            </w:r>
          </w:p>
        </w:tc>
        <w:tc>
          <w:tcPr>
            <w:tcW w:type="dxa" w:w="8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33,0</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34,0</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35,0</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36,0</w:t>
            </w:r>
          </w:p>
        </w:tc>
      </w:tr>
      <w:tr>
        <w:tc>
          <w:tcPr>
            <w:tcW w:type="dxa" w:w="37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6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8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r>
      <w:tr>
        <w:tc>
          <w:tcPr>
            <w:tcW w:type="dxa" w:w="37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водка</w:t>
            </w:r>
          </w:p>
        </w:tc>
        <w:tc>
          <w:tcPr>
            <w:tcW w:type="dxa" w:w="16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10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8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w:t>
            </w:r>
          </w:p>
        </w:tc>
      </w:tr>
      <w:tr>
        <w:tc>
          <w:tcPr>
            <w:tcW w:type="dxa" w:w="37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6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50,7</w:t>
            </w:r>
          </w:p>
        </w:tc>
        <w:tc>
          <w:tcPr>
            <w:tcW w:type="dxa" w:w="8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r>
      <w:tr>
        <w:tc>
          <w:tcPr>
            <w:tcW w:type="dxa" w:w="37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вино</w:t>
            </w:r>
          </w:p>
        </w:tc>
        <w:tc>
          <w:tcPr>
            <w:tcW w:type="dxa" w:w="16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10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8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w:t>
            </w:r>
          </w:p>
        </w:tc>
      </w:tr>
      <w:tr>
        <w:tc>
          <w:tcPr>
            <w:tcW w:type="dxa" w:w="37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6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91,9</w:t>
            </w:r>
          </w:p>
        </w:tc>
        <w:tc>
          <w:tcPr>
            <w:tcW w:type="dxa" w:w="8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r>
      <w:tr>
        <w:tc>
          <w:tcPr>
            <w:tcW w:type="dxa" w:w="37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пиво</w:t>
            </w:r>
          </w:p>
        </w:tc>
        <w:tc>
          <w:tcPr>
            <w:tcW w:type="dxa" w:w="16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10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w:t>
            </w:r>
          </w:p>
        </w:tc>
        <w:tc>
          <w:tcPr>
            <w:tcW w:type="dxa" w:w="8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w:t>
            </w:r>
          </w:p>
        </w:tc>
      </w:tr>
      <w:tr>
        <w:tc>
          <w:tcPr>
            <w:tcW w:type="dxa" w:w="37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6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63,8</w:t>
            </w:r>
          </w:p>
        </w:tc>
        <w:tc>
          <w:tcPr>
            <w:tcW w:type="dxa" w:w="8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r>
      <w:tr>
        <w:tc>
          <w:tcPr>
            <w:tcW w:type="dxa" w:w="37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табачные изделия</w:t>
            </w:r>
          </w:p>
        </w:tc>
        <w:tc>
          <w:tcPr>
            <w:tcW w:type="dxa" w:w="16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10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54,1</w:t>
            </w:r>
          </w:p>
        </w:tc>
        <w:tc>
          <w:tcPr>
            <w:tcW w:type="dxa" w:w="8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55,0</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56,0</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57,0</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58,0</w:t>
            </w:r>
          </w:p>
        </w:tc>
      </w:tr>
      <w:tr>
        <w:tc>
          <w:tcPr>
            <w:tcW w:type="dxa" w:w="37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6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67,5</w:t>
            </w:r>
          </w:p>
        </w:tc>
        <w:tc>
          <w:tcPr>
            <w:tcW w:type="dxa" w:w="8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r>
      <w:tr>
        <w:tc>
          <w:tcPr>
            <w:tcW w:type="dxa" w:w="37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пшеница</w:t>
            </w:r>
          </w:p>
        </w:tc>
        <w:tc>
          <w:tcPr>
            <w:tcW w:type="dxa" w:w="16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10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61,3</w:t>
            </w:r>
          </w:p>
        </w:tc>
        <w:tc>
          <w:tcPr>
            <w:tcW w:type="dxa" w:w="8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74,4</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78,1</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81,8</w:t>
            </w:r>
          </w:p>
        </w:tc>
      </w:tr>
      <w:tr>
        <w:tc>
          <w:tcPr>
            <w:tcW w:type="dxa" w:w="37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6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61,1</w:t>
            </w:r>
          </w:p>
        </w:tc>
        <w:tc>
          <w:tcPr>
            <w:tcW w:type="dxa" w:w="8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121,4</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15
 к Среднесрочному прогнозу социально-экономического развития Кыргызской Республики на 2017-2019 годы</w:t>
      </w:r>
    </w:p>
    <w:p>
      <w:pPr>
        <w:spacing w:after="400" w:before="400"/>
        <w:jc w:val="center"/>
      </w:pPr>
      <w:r>
        <w:rPr>
          <w:rFonts w:ascii="Arial" w:cs="Arial" w:eastAsia="Arial" w:hAnsi="Arial"/>
          <w:b/>
          <w:bCs/>
          <w:sz w:val="32"/>
          <w:szCs w:val="32"/>
        </w:rPr>
        <w:t xml:space="preserve">СРЕДНЕСРОЧНЫЕ ПРОГНОЗНЫЕ ПОКАЗАТЕЛИ
 развития регионов Кыргызской Республики на 2017-2019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916"/>
        <w:gridCol w:w="1140"/>
        <w:gridCol w:w="1030"/>
        <w:gridCol w:w="1030"/>
        <w:gridCol w:w="1030"/>
        <w:gridCol w:w="1030"/>
      </w:tblGrid>
      <w:tr>
        <w:tc>
          <w:tcPr>
            <w:tcW w:type="dxa" w:w="4916"/>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14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год</w:t>
            </w:r>
          </w:p>
        </w:tc>
        <w:tc>
          <w:tcPr>
            <w:tcW w:type="dxa" w:w="103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год</w:t>
            </w:r>
          </w:p>
        </w:tc>
        <w:tc>
          <w:tcPr>
            <w:tcW w:type="dxa" w:w="103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год</w:t>
            </w:r>
          </w:p>
        </w:tc>
        <w:tc>
          <w:tcPr>
            <w:tcW w:type="dxa" w:w="103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w:t>
            </w:r>
          </w:p>
        </w:tc>
        <w:tc>
          <w:tcPr>
            <w:tcW w:type="dxa" w:w="103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год</w:t>
            </w:r>
          </w:p>
        </w:tc>
      </w:tr>
      <w:tr>
        <w:tc>
          <w:tcPr>
            <w:vMerge w:val="continue"/>
            <w:tcBorders>
              <w:top w:val="single" w:color="CBBF9E" w:sz="4"/>
              <w:left w:val="single" w:color="CBBF9E" w:sz="4"/>
              <w:bottom w:val="single" w:color="CBBF9E" w:sz="4"/>
              <w:right w:val="single" w:color="CBBF9E" w:sz="4"/>
            </w:tcBorders>
          </w:tcP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предв. факт</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r>
      <w:tr>
        <w:tc>
          <w:tcPr>
            <w:tcW w:type="dxa" w:w="10176"/>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Валовой региональный продукт (млн. сомов)</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Республика, всего</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423635,5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461527,1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511067,5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567627,5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634524,3</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Дефлятор, в % к соответствующему периоду предыдущего года</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106,4</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17561,5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19121,5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21235,5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23588,5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26163,1</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48167,1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53227,6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59192,5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66324,9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75055,0</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109,2</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107,1</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52683,8</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56856,6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62203,9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67820,4</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74590,1</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11960,9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13164,0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14524,5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16113,9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17962,4</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32655,3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34938,0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38673,4</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42839,6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47826,0</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13840,9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15065,1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16652,5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18369,0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20200,5</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66131,9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72895,0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81213,1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90860,9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102115,2</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109,4</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107,3</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Бишкек</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157164,3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170526,5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188711,0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209624,0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234762,0</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Ош</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23469,8</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25732,8</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28661,0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32086,2</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35850,1</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r>
      <w:tr>
        <w:tc>
          <w:tcPr>
            <w:tcW w:type="dxa" w:w="10176"/>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Валовая продукция сельского хозяйства, лесного хозяйства и рыболовства (млн. сомов)</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Республика, всего</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197065,8</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210823,0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228801,9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249159,6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271988,8</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94,8</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106,4</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15126,6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16282,6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17521,2</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19079,9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20611,0</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100,8</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39465,7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42420,8</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45938,4</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50025,2</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54419,0</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21799,5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23021,3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25184,6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27425,3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29972,4</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14363,9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15566,6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17044,2</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18597,3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20914,1</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35700,9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37993,2</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41133,2</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44793,0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48845,5</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18129,8</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19195,4</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20982,4</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22849,3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24986,0</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51231,5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55008,0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59549,0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64797,5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70484,1</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Бишкек</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404,1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432,3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458,7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494,5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533,3</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98,2</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99,0</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Ош</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843,8</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902,7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990,1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1097,6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1223,4</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100,8</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r>
      <w:tr>
        <w:tc>
          <w:tcPr>
            <w:tcW w:type="dxa" w:w="10176"/>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Валовая продукция промышленности</w:t>
            </w:r>
            <w:r>
              <w:rPr>
                <w:rFonts w:ascii="Arial" w:cs="Arial" w:eastAsia="Arial" w:hAnsi="Arial"/>
                <w:b/>
                <w:bCs/>
                <w:sz w:val="24"/>
                <w:szCs w:val="24"/>
              </w:rPr>
              <w:t xml:space="preserve">(10) (млн. сомов)</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Республика, всего</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174341,8</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182492,9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188124,1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198543,3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225760,3</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99,8</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110,3</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4537,6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4547,8</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4857,6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5047,7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5344,4</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97,4</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19822,4</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21888,6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23720,2</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25826,6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29779,8</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111,3</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43362,4</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43102,2</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39352,3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38132,4</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41526,2</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92,4</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99,4</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108,9</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1843,5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1967,2</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2078,5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2202,8</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2384,8</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5730,2</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6043,8</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6530,6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7076,4</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7785,3</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106,4</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1293,4</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1275,1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1358,1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1464,6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1628,4</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106,6</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65155,1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70003,9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74767,7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81252,9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95175,6</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112,6</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Бишкек</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28741,7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29447,0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30841,1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32559,3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36598,6</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85,8</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99,2</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108,5</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Ош</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3855,5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4217,3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4618,1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4980,5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5537,1</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111,2</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106,9</w:t>
            </w:r>
          </w:p>
        </w:tc>
      </w:tr>
      <w:tr>
        <w:tc>
          <w:tcPr>
            <w:tcW w:type="dxa" w:w="10176"/>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Объем продукции промышленности</w:t>
            </w:r>
            <w:r>
              <w:rPr>
                <w:rFonts w:ascii="Arial" w:cs="Arial" w:eastAsia="Arial" w:hAnsi="Arial"/>
                <w:b/>
                <w:bCs/>
                <w:sz w:val="24"/>
                <w:szCs w:val="24"/>
              </w:rPr>
              <w:t xml:space="preserve">(11) (млн. сомов)</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Республика, всего</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175164,0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184546,5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191698,5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203257,7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231215,4</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109,9</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4868,5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4926,5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5323,1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5573,8</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5855,4</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17825,7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20026,4</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22122,5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24413,2</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28563,4</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115,4</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107,2</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110,9</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42708,8</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42623,4</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38979,1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37731,8</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40939,0</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99,8</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96,8</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108,5</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1748,2</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1890,8</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2015,2</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2152,0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2312,0</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100,8</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3786,5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4048,1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4454,5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4901,7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5398,2</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962,4</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959,8</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1124,9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1228,1</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91,4</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95,8</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68469,9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74143,6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79486,5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86389,3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100260,1</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112,2</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Бишкек</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31461,2</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32222,2</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34167,0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36524,9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41682,9</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108,2</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Ош</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3332,8</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3705,7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4110,6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4446,0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4976,4</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соответствующему периоду предыдущего года</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106,4</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r>
      <w:tr>
        <w:tc>
          <w:tcPr>
            <w:tcW w:type="dxa" w:w="10176"/>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Валовой выпуск сферы услуг (млн. сомов)</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Республика, всего</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372326,6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407274,1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457319,5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511386,1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567059,0</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106,7</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11525,7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12584,4</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13958,1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15489,0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17155,3</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35302,0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38731,5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43628,7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48605,7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54880,2</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109,4</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105,7</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20716,0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22989,2</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25545,9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28243,4</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30410,1</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9011,0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9971,3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11095,0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12465,0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13777,3</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26506,4</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28123,3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31412,6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35192,5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39578,6</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9654,9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10796,5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11987,8</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13213,8</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14324,1</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42043,8</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46143,9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51589,6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57472,0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63778,4</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Бишкек</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190571,7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208317,9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234834,6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263326,7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291561,0</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Ош</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26995,0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29616,2</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33267,2</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37377,8</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41594,1</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6"/>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Валовой выпуск оптовой и розничной торговли; ремонта автомобилей и мотоциклов (млн. сомов)</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Республика, всего</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128089,2</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143019,1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165967,3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190507,6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215277,8</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107,8</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106,6</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2986,6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3343,0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3830,7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4358,3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4919,7</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106,4</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15679,7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17269,6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19975,7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22806,8</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26123,7</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112,2</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5952,9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6688,4</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7678,3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8680,3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9568,1</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2727,3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3078,7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3531,9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4028,6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4505,1</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107,2</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11588,3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12286,2</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14255,0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16305,1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18563,1</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107,4</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106,9</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3258,2</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3660,8</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4191,1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4744,7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5235,2</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17545,0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19732,2</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22834,0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26183,7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29474,6</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106,8</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Бишкек</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57847,3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65247,7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76034,5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87789,0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99248,1</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108,2</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Ош</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10503,9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11712,6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13636,1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15611,1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17640,1</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107,8</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106,4</w:t>
            </w:r>
          </w:p>
        </w:tc>
      </w:tr>
      <w:tr>
        <w:tc>
          <w:tcPr>
            <w:tcW w:type="dxa" w:w="10176"/>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Объем оказанных рыночных услуг (млн. сомов)</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Республика, всего</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568724,0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627520,2</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715271,1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808947,6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902975,8</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14609,2</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16014,2</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17990,0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20156,1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22048,6</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57942,3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63026,7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71968,0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81168,6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89906,0</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25177,7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28102,8</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31998,0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36224,8</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39550,2</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8032,7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8872,4</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9931,3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11222,0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12453,1</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34963,6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37549,2</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41785,9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47172,3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52136,6</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13350,5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14859,0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16836,5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19078,1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21314,3</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66208,5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74290,3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85077,0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96519,3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107958,0</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107,2</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Бишкек</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304562,3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336432,1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384613,4</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435704,0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488216,0</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Ош</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43877,2</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48373,5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55071,0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61702,4</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69393,0</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r>
      <w:tr>
        <w:tc>
          <w:tcPr>
            <w:tcW w:type="dxa" w:w="10176"/>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Оптовая и розничная торговля; ремонт автомобилей и мотоциклов (млн. сомов)</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Республика, всего</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428072,9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475712,0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549484,1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627788,1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706083,2</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106,3</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12027,4</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13386,6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15253,6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17257,1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19370,2</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49751,7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54587,6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62906,8</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71553,7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81654,1</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107,4</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106,8</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17515,4</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19568,4</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22339,0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25111,7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27522,0</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6387,0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7182,8</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8209,5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9328,8</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10393,0</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30943,7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32616,3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37632,3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42803,4</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48457,3</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106,6</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11405,5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12766,5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14561,1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16422,7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18051,8</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56897,8</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63629,0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73221,1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83492,8</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93544,7</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107,2</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Бишкек</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207069,2</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231976,5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269052,0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309099,0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347855,2</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Ош</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36075,2</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39998,2</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46308,6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52718,9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59234,9</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w:t>
            </w:r>
          </w:p>
        </w:tc>
      </w:tr>
      <w:tr>
        <w:tc>
          <w:tcPr>
            <w:tcW w:type="dxa" w:w="10176"/>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Валовая продукция строительства (млн. сомов)</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Республика, всего</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116117,2</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133008,1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155766,3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183278,1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217721,5</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112,6</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соответствующему периоду предыдущего года</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5015,7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5445,2</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6228,3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7116,7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8454,1</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168,3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108,4</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112,4</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12878,3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14751,7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16275,8</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20327,3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23147,4</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109,4</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107,6</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13637,6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14621,4</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18294,2</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21525,4</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25570,7</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91,2</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112,4</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7712,7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8434,6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9146,5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10273,6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11204,3</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87,4</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106,8</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4983,2</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5308,1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5884,7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6365,3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7261,5</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86,8</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108,3</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1463,8</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1676,8</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1863,6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2110,5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2407,2</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107,4</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108,2</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29320,8</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34985,9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42632,7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51779,6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63520,3</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143,3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116,3</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Бишкек</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37386,6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43825,1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51152,4</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59010,6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70890,4</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113,9</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Ош</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3718,4</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3959,3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4288,1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4769,1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5265,6</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100,8</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r>
      <w:tr>
        <w:tc>
          <w:tcPr>
            <w:tcW w:type="dxa" w:w="10176"/>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Объем инвестиций в основной капитал (млн. сомов)</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Республика, всего</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120878,9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143881,8</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174294,9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203860,6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236841,7</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4880,3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5908,9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7157,9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7872,1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8745,7</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15140,0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18021,2</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21830,3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27533,4</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32987,8</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20902,5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26220,1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31762,4</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37150,3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44160,6</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7668,0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8127,2</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9245,2</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10813,5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13562,9</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3905,3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4248,4</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4746,4</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5451,5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6333,5</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1298,9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1546,1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1772,9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2273,6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2841,4</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33556,1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40941,7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49795,8</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59442,7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68259,7</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Бишкек</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30699,5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35541,5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44054,1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48927,0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54842,3</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Ош</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2828,5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3326,7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3929,9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4396,5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5107,8</w:t>
            </w:r>
          </w:p>
        </w:tc>
      </w:tr>
      <w:tr>
        <w:tc>
          <w:tcPr>
            <w:tcW w:type="dxa" w:w="10176"/>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Численность занятых в экономике, тыс. чел.</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Республика, всего</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2332,7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2360,2</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2388,2</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2414,5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2442,0</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164,4</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166,3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168,1</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426,7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431,7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436,8</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441,7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446,7</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168,5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172,5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174,4</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176,4</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83,4</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84,3</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536,6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543,0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549,4</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555,5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561,8</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117,2</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122,7</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337,4</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341,3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345,4</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349,2</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353,2</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Бишкек</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409,9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414,7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419,7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424,3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429,1</w:t>
            </w:r>
          </w:p>
        </w:tc>
      </w:tr>
      <w:tr>
        <w:tc>
          <w:tcPr>
            <w:tcW w:type="dxa" w:w="10176"/>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Созданные рабочие места, единиц</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Республика, всего</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109676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70000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70000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70000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70000</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11289,0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6436,0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6429,0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6428,0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6429,0</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28122,0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15232,0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15233,0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15240,0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15232,0</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5101,0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1916,0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1915,0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1914,0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1915,0</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5009,0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3120,0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3102,0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3103,0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3102,0</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11163,0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6662,0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6662,0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6655,0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6675,0</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1786,0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1819,0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1806,0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1805,0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1806,0</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29117,0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18265,0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18265,0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18265,0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18266,0</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Бишкек</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16987,0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15679,0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15705,0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15706,0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15725,0</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Ош</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1102,0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871,0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883,0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884,0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850,0</w:t>
            </w:r>
          </w:p>
        </w:tc>
      </w:tr>
      <w:tr>
        <w:tc>
          <w:tcPr>
            <w:tcW w:type="dxa" w:w="10176"/>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Уровень общей безработицы, %</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Республика, всего</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Бишкек</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Ош</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r>
      <w:tr>
        <w:tc>
          <w:tcPr>
            <w:tcW w:type="dxa" w:w="10176"/>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Среднемесячная оплата труда</w:t>
            </w:r>
            <w:r>
              <w:rPr>
                <w:rFonts w:ascii="Arial" w:cs="Arial" w:eastAsia="Arial" w:hAnsi="Arial"/>
                <w:b/>
                <w:bCs/>
                <w:sz w:val="24"/>
                <w:szCs w:val="24"/>
              </w:rPr>
              <w:t xml:space="preserve">(12), сомов</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Республика, всего</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13277,0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14210,0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15270,0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16700,0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18320,0</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9600,0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10300,6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11200,0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12204,0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13486,0</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12186,0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13042,0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13824,0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14900,0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16200,0</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9788,0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10475,8</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11410,0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12406,6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13550,0</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13036,0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13962,1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14655,6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15690,0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17287,5</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99,4</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8659,0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9250,0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9950,0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11038,0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12080,0</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10147,0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10880,0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11560,0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12602,0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13801,0</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11745,0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12550,3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13320,0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14807,0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16006,0</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Бишкек</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17437,0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18602,3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19741,0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21607,0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23260,1</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Ош</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12178,0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13053,8</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13910,0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14930,0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16203,6</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100,8</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r>
      <w:tr>
        <w:tc>
          <w:tcPr>
            <w:tcW w:type="dxa" w:w="10176"/>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Прожиточный минимум, сомов</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Республика, всего</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5183,0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5338,5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5637,4</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5992,6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6352,1</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5137,8</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5262,0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5590,3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5931,0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6296,8</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5282,0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5430,4</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5730,1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6145,0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6463,5</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107,2</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4601,6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4755,6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5015,1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5358,1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5639,6</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106,8</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5038,4</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5202,0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5480,1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5744,3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6134,9</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106,8</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r>
              <w:rPr>
                <w:rFonts w:ascii="Arial" w:cs="Arial" w:eastAsia="Arial" w:hAnsi="Arial"/>
                <w:sz w:val="24"/>
                <w:szCs w:val="24"/>
              </w:rPr>
              <w:t xml:space="preserve">(13)</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5503,1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5677,3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5985,6</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6245,7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6724,5</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107,7</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4721,3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4873,0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5135,3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5571,7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5902,3</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4857,2</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4995,2</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5283,1</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5662,4</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5952,9</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107,2</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Бишкек</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5213,0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5379,3</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5690,0</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6057,7</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6410,1</w:t>
            </w:r>
          </w:p>
        </w:tc>
      </w:tr>
      <w:tr>
        <w:tc>
          <w:tcPr>
            <w:tcW w:type="dxa" w:w="4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соответствующему периоду предыдущего года</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r>
    </w:tbl>
    <w:p>
      <w:pPr>
        <w:spacing w:after="60" w:before="120"/>
        <w:ind w:firstLine="567"/>
        <w:jc w:val="both"/>
      </w:pPr>
      <w:r>
        <w:rPr>
          <w:rFonts w:ascii="Arial" w:cs="Arial" w:eastAsia="Arial" w:hAnsi="Arial"/>
          <w:sz w:val="24"/>
          <w:szCs w:val="24"/>
        </w:rPr>
        <w:t xml:space="preserve">________________________</w:t>
      </w:r>
    </w:p>
    <w:p>
      <w:pPr>
        <w:spacing w:after="60" w:before="120"/>
        <w:ind w:firstLine="567"/>
        <w:jc w:val="both"/>
      </w:pPr>
      <w:r>
        <w:rPr>
          <w:rFonts w:ascii="Arial" w:cs="Arial" w:eastAsia="Arial" w:hAnsi="Arial"/>
          <w:sz w:val="24"/>
          <w:szCs w:val="24"/>
        </w:rPr>
        <w:t xml:space="preserve">Примечания:</w:t>
      </w:r>
    </w:p>
    <w:p>
      <w:pPr>
        <w:spacing w:after="60"/>
        <w:ind w:firstLine="567"/>
        <w:jc w:val="both"/>
      </w:pPr>
      <w:r>
        <w:rPr>
          <w:rFonts w:ascii="Arial" w:cs="Arial" w:eastAsia="Arial" w:hAnsi="Arial"/>
          <w:sz w:val="24"/>
          <w:szCs w:val="24"/>
        </w:rPr>
        <w:t xml:space="preserve">(1) Оценка Министерства экономики Кыргызской Республики.</w:t>
      </w:r>
    </w:p>
    <w:p>
      <w:pPr>
        <w:spacing w:after="60"/>
        <w:ind w:firstLine="567"/>
        <w:jc w:val="both"/>
      </w:pPr>
      <w:r>
        <w:rPr>
          <w:rFonts w:ascii="Arial" w:cs="Arial" w:eastAsia="Arial" w:hAnsi="Arial"/>
          <w:sz w:val="24"/>
          <w:szCs w:val="24"/>
        </w:rPr>
        <w:t xml:space="preserve">(2) По методике Международного валютного фонда.</w:t>
      </w:r>
    </w:p>
    <w:p>
      <w:pPr>
        <w:spacing w:after="60"/>
        <w:ind w:firstLine="567"/>
        <w:jc w:val="both"/>
      </w:pPr>
      <w:r>
        <w:rPr>
          <w:rFonts w:ascii="Arial" w:cs="Arial" w:eastAsia="Arial" w:hAnsi="Arial"/>
          <w:sz w:val="24"/>
          <w:szCs w:val="24"/>
        </w:rPr>
        <w:t xml:space="preserve">(3) По данным Социального фонда Кыргызской Республики.</w:t>
      </w:r>
    </w:p>
    <w:p>
      <w:pPr>
        <w:spacing w:after="60"/>
        <w:ind w:firstLine="567"/>
        <w:jc w:val="both"/>
      </w:pPr>
      <w:r>
        <w:rPr>
          <w:rFonts w:ascii="Arial" w:cs="Arial" w:eastAsia="Arial" w:hAnsi="Arial"/>
          <w:sz w:val="24"/>
          <w:szCs w:val="24"/>
        </w:rPr>
        <w:t xml:space="preserve">(4) Оценка Министерства экономики Кыргызской Республики.</w:t>
      </w:r>
    </w:p>
    <w:p>
      <w:pPr>
        <w:spacing w:after="60"/>
        <w:ind w:firstLine="567"/>
        <w:jc w:val="both"/>
      </w:pPr>
      <w:r>
        <w:rPr>
          <w:rFonts w:ascii="Arial" w:cs="Arial" w:eastAsia="Arial" w:hAnsi="Arial"/>
          <w:sz w:val="24"/>
          <w:szCs w:val="24"/>
        </w:rPr>
        <w:t xml:space="preserve">(5) С учетом стоимости переработки давальческого сырья, без учета покупной электроэнергии.</w:t>
      </w:r>
    </w:p>
    <w:p>
      <w:pPr>
        <w:spacing w:after="60"/>
        <w:ind w:firstLine="567"/>
        <w:jc w:val="both"/>
      </w:pPr>
      <w:r>
        <w:rPr>
          <w:rFonts w:ascii="Arial" w:cs="Arial" w:eastAsia="Arial" w:hAnsi="Arial"/>
          <w:sz w:val="24"/>
          <w:szCs w:val="24"/>
        </w:rPr>
        <w:t xml:space="preserve">(6) Без учета стоимости переработки давальческого сырья, но с учетом покупной электроэнергии.</w:t>
      </w:r>
    </w:p>
    <w:p>
      <w:pPr>
        <w:spacing w:after="60"/>
        <w:ind w:firstLine="567"/>
        <w:jc w:val="both"/>
      </w:pPr>
      <w:r>
        <w:rPr>
          <w:rFonts w:ascii="Arial" w:cs="Arial" w:eastAsia="Arial" w:hAnsi="Arial"/>
          <w:sz w:val="24"/>
          <w:szCs w:val="24"/>
        </w:rPr>
        <w:t xml:space="preserve">(7) Без зернобобовых, риса и гречихи.</w:t>
      </w:r>
    </w:p>
    <w:p>
      <w:pPr>
        <w:spacing w:after="60"/>
        <w:ind w:firstLine="567"/>
        <w:jc w:val="both"/>
      </w:pPr>
      <w:r>
        <w:rPr>
          <w:rFonts w:ascii="Arial" w:cs="Arial" w:eastAsia="Arial" w:hAnsi="Arial"/>
          <w:sz w:val="24"/>
          <w:szCs w:val="24"/>
        </w:rPr>
        <w:t xml:space="preserve">(8) С учетом вычета коммунальных услуг.</w:t>
      </w:r>
    </w:p>
    <w:p>
      <w:pPr>
        <w:spacing w:after="60"/>
        <w:ind w:firstLine="567"/>
        <w:jc w:val="both"/>
      </w:pPr>
      <w:r>
        <w:rPr>
          <w:rFonts w:ascii="Arial" w:cs="Arial" w:eastAsia="Arial" w:hAnsi="Arial"/>
          <w:sz w:val="24"/>
          <w:szCs w:val="24"/>
        </w:rPr>
        <w:t xml:space="preserve">(9) Информация о данном виде производства относится к ДСП и представляется в установленном порядке.</w:t>
      </w:r>
    </w:p>
    <w:p>
      <w:pPr>
        <w:spacing w:after="60"/>
        <w:ind w:firstLine="567"/>
        <w:jc w:val="both"/>
      </w:pPr>
      <w:r>
        <w:rPr>
          <w:rFonts w:ascii="Arial" w:cs="Arial" w:eastAsia="Arial" w:hAnsi="Arial"/>
          <w:sz w:val="24"/>
          <w:szCs w:val="24"/>
        </w:rPr>
        <w:t xml:space="preserve">(10) С учетом стоимости переработки давальческого сырья, без учета покупной электроэнергии.</w:t>
      </w:r>
    </w:p>
    <w:p>
      <w:pPr>
        <w:spacing w:after="60"/>
        <w:ind w:firstLine="567"/>
        <w:jc w:val="both"/>
      </w:pPr>
      <w:r>
        <w:rPr>
          <w:rFonts w:ascii="Arial" w:cs="Arial" w:eastAsia="Arial" w:hAnsi="Arial"/>
          <w:sz w:val="24"/>
          <w:szCs w:val="24"/>
        </w:rPr>
        <w:t xml:space="preserve">(11) Без учета стоимости переработки давальческого сырья, но с учетом покупной электроэнергии.</w:t>
      </w:r>
    </w:p>
    <w:p>
      <w:pPr>
        <w:spacing w:after="60"/>
        <w:ind w:firstLine="567"/>
        <w:jc w:val="both"/>
      </w:pPr>
      <w:r>
        <w:rPr>
          <w:rFonts w:ascii="Arial" w:cs="Arial" w:eastAsia="Arial" w:hAnsi="Arial"/>
          <w:sz w:val="24"/>
          <w:szCs w:val="24"/>
        </w:rPr>
        <w:t xml:space="preserve">(12) Данные за 2014 г., без учета малых предприятий.</w:t>
      </w:r>
    </w:p>
    <w:p>
      <w:pPr>
        <w:spacing w:after="60"/>
        <w:ind w:firstLine="567"/>
        <w:jc w:val="both"/>
      </w:pPr>
      <w:r>
        <w:rPr>
          <w:rFonts w:ascii="Arial" w:cs="Arial" w:eastAsia="Arial" w:hAnsi="Arial"/>
          <w:sz w:val="24"/>
          <w:szCs w:val="24"/>
        </w:rPr>
        <w:t xml:space="preserve">(13) Вместе с гор. Ош.</w:t>
      </w:r>
    </w:p>
    <w:p>
      <w:pPr>
        <w:spacing w:after="60"/>
        <w:ind w:firstLine="567"/>
        <w:jc w:val="both"/>
      </w:pPr>
      <w:r>
        <w:rPr>
          <w:rFonts w:ascii="Arial" w:cs="Arial" w:eastAsia="Arial" w:hAnsi="Arial"/>
          <w:sz w:val="24"/>
          <w:szCs w:val="24"/>
        </w:rPr>
        <w:t xml:space="preserve">(*) Информация о данном виде производства относится к ДСП и представляется в установленном порядке.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jk8gsuhs0yrvy5q2eno3">
      <w:r>
        <w:rPr>
          <w:rFonts w:ascii="Arial" w:cs="Arial" w:eastAsia="Arial" w:hAnsi="Arial"/>
          <w:color w:val="132D3F"/>
          <w:sz w:val="16"/>
          <w:szCs w:val="16"/>
          <w:u w:val="single"/>
        </w:rPr>
        <w:t xml:space="preserve">dalil.kg/document/98628</w:t>
      </w:r>
    </w:hyperlink>
  </w:p>
  <w:p>
    <w:pPr>
      <w:spacing w:after="0" w:before="40"/>
      <w:jc w:val="center"/>
    </w:pPr>
    <w:hyperlink w:history="1" r:id="rIduftwxt6v7wed0t7zvgr70">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lzbsuhzeglrnjcdchmwi" Type="http://schemas.openxmlformats.org/officeDocument/2006/relationships/hyperlink" Target="https://dalil.kg/document/12308" TargetMode="External"/><Relationship Id="rIdbtlqyqsr6n2yvlkpyxn5c" Type="http://schemas.openxmlformats.org/officeDocument/2006/relationships/hyperlink" Target="https://dalil.kg/document/202530" TargetMode="External"/><Relationship Id="rIdzpmrnrlbnwo6j-qz-wgez" Type="http://schemas.openxmlformats.org/officeDocument/2006/relationships/hyperlink" Target="https://dalil.kg/document/203685" TargetMode="External"/><Relationship Id="rId-rmdanxymnxxqq4ivn_yd" Type="http://schemas.openxmlformats.org/officeDocument/2006/relationships/hyperlink" Target="https://dalil.kg/document/98628#p1" TargetMode="External"/><Relationship Id="rIdxdwvophgdq47ngvfvlevt" Type="http://schemas.openxmlformats.org/officeDocument/2006/relationships/hyperlink" Target="https://dalil.kg/document/97609"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jk8gsuhs0yrvy5q2eno3" Type="http://schemas.openxmlformats.org/officeDocument/2006/relationships/hyperlink" Target="https://dalil.kg/document/98628" TargetMode="External"/><Relationship Id="rIduftwxt6v7wed0t7zvgr70"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2026-09-30T14:31:04.793Z</dcterms:created>
  <dcterms:modified xsi:type="dcterms:W3CDTF">2026-09-30T14:31:04.793Z</dcterms:modified>
</cp:coreProperties>
</file>

<file path=docProps/custom.xml><?xml version="1.0" encoding="utf-8"?>
<Properties xmlns="http://schemas.openxmlformats.org/officeDocument/2006/custom-properties" xmlns:vt="http://schemas.openxmlformats.org/officeDocument/2006/docPropsVTypes"/>
</file>