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сентября 2016 года № 516</w:t>
      </w:r>
    </w:p>
    <w:p>
      <w:pPr>
        <w:spacing w:after="120"/>
        <w:jc w:val="both"/>
      </w:pPr>
      <w:r>
        <w:rPr>
          <w:rFonts w:ascii="Arial" w:cs="Arial" w:eastAsia="Arial" w:hAnsi="Arial"/>
          <w:sz w:val="32"/>
          <w:szCs w:val="32"/>
        </w:rPr>
        <w:t xml:space="preserve">О заключении Правительства Кыргызской Республики на проекты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 и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yo1h9ocfbjyyhnhsquh_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iwt7svfwgm3-cl5igssv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конституционного Закона Кыргызской Республики "О внесении изменений в</w:t>
      </w:r>
      <w:hyperlink w:history="1" r:id="rIdyajernkgnu8zpngwxeh3c">
        <w:r>
          <w:rPr>
            <w:rFonts w:ascii="Arial" w:cs="Arial" w:eastAsia="Arial" w:hAnsi="Arial"/>
            <w:color w:val="1D4ED8"/>
            <w:sz w:val="24"/>
            <w:szCs w:val="24"/>
            <w:u w:val="single"/>
          </w:rPr>
          <w:t xml:space="preserve"> 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 Закона Кыргызской Республики "О внесении изменений в </w:t>
      </w:r>
      <w:hyperlink w:history="1" r:id="rIdz9myvmpienfaxeiosttt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инициированные депутатами Жогорку Кенеша Кыргызской Республики Бабановым О.Т., Казакбаевым Р.А., Жеенчороевым М.К., Омурбековой А.С., Сабировым М.Э., Алтынбековым А., Тиллаевым Т.Г., Райымкуловым Б.К., Нишановым Н.Н.</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сентября 2016 года № 516</w:t>
      </w:r>
    </w:p>
    <w:p>
      <w:pPr>
        <w:spacing w:after="400" w:before="400"/>
        <w:jc w:val="center"/>
      </w:pPr>
      <w:r>
        <w:rPr>
          <w:rFonts w:ascii="Arial" w:cs="Arial" w:eastAsia="Arial" w:hAnsi="Arial"/>
          <w:b/>
          <w:bCs/>
          <w:sz w:val="24"/>
          <w:szCs w:val="24"/>
        </w:rPr>
        <w:t xml:space="preserve">ЗАКЛЮЧЕНИ</w:t>
      </w:r>
      <w:r>
        <w:rPr>
          <w:rFonts w:ascii="Arial" w:cs="Arial" w:eastAsia="Arial" w:hAnsi="Arial"/>
          <w:b/>
          <w:bCs/>
          <w:sz w:val="24"/>
          <w:szCs w:val="24"/>
        </w:rPr>
        <w:t xml:space="preserve">Е
 Правительства Кыргызской Республики на проекты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 и Закона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rkckxq93zxktrb3ootx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конституционного Закона Кыргызской Республики "О внесении изменений в </w:t>
      </w:r>
      <w:hyperlink w:history="1" r:id="rId_vtvx01btgrdjidtuurdf">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изменений в Закон Кыргызской Республики "О выборах депутатов местных кенешей", инициированные депутатами Жогорку Кенеша Кыргызской Республики Бабановым О.Т., Казакбаевым Р.А., Жеенчороевым М.К., Омурбековой А.С., Сабировым М.Э., Алтынбековым А., Тиллаевым Т.Г., Райымкуловым Б.К., Нишановым Н.Н., отмечает следующее.</w:t>
      </w:r>
    </w:p>
    <w:p>
      <w:pPr>
        <w:spacing w:after="60"/>
        <w:ind w:firstLine="567"/>
        <w:jc w:val="both"/>
      </w:pPr>
      <w:r>
        <w:rPr>
          <w:rFonts w:ascii="Arial" w:cs="Arial" w:eastAsia="Arial" w:hAnsi="Arial"/>
          <w:sz w:val="24"/>
          <w:szCs w:val="24"/>
        </w:rPr>
        <w:t xml:space="preserve">Частью 1 статьи 1 проекта конституционного Закона предлагается установить, что не имеют права быть избранными на должность Президента, депутатом Жогорку Кенеша лица, состоящие на оперативно-превентивном учете в установленном законом порядке.</w:t>
      </w:r>
    </w:p>
    <w:p>
      <w:pPr>
        <w:spacing w:after="60"/>
        <w:ind w:firstLine="567"/>
        <w:jc w:val="both"/>
      </w:pPr>
      <w:r>
        <w:rPr>
          <w:rFonts w:ascii="Arial" w:cs="Arial" w:eastAsia="Arial" w:hAnsi="Arial"/>
          <w:sz w:val="24"/>
          <w:szCs w:val="24"/>
        </w:rPr>
        <w:t xml:space="preserve">В этой связи отмечаем, что в соответствии с частью 2 </w:t>
      </w:r>
      <w:r>
        <w:rPr>
          <w:rFonts w:ascii="Arial" w:cs="Arial" w:eastAsia="Arial" w:hAnsi="Arial"/>
          <w:sz w:val="24"/>
          <w:szCs w:val="24"/>
        </w:rPr>
        <w:t xml:space="preserve">статьи 20</w:t>
      </w:r>
      <w:r>
        <w:rPr>
          <w:rFonts w:ascii="Arial" w:cs="Arial" w:eastAsia="Arial" w:hAnsi="Arial"/>
          <w:sz w:val="24"/>
          <w:szCs w:val="24"/>
        </w:rPr>
        <w:t xml:space="preserve"> </w:t>
      </w:r>
      <w:hyperlink w:history="1" r:id="rIdu7xdkt1jxs5trd7gad0c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pPr>
        <w:spacing w:after="60"/>
        <w:ind w:firstLine="567"/>
        <w:jc w:val="both"/>
      </w:pPr>
      <w:r>
        <w:rPr>
          <w:rFonts w:ascii="Arial" w:cs="Arial" w:eastAsia="Arial" w:hAnsi="Arial"/>
          <w:sz w:val="24"/>
          <w:szCs w:val="24"/>
        </w:rPr>
        <w:t xml:space="preserve">Кроме того, предлагаем учесть положения части 1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ekfj80rylnk3viejt6ji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w:t>
      </w:r>
    </w:p>
    <w:p>
      <w:pPr>
        <w:spacing w:after="60"/>
        <w:ind w:firstLine="567"/>
        <w:jc w:val="both"/>
      </w:pPr>
      <w:r>
        <w:rPr>
          <w:rFonts w:ascii="Arial" w:cs="Arial" w:eastAsia="Arial" w:hAnsi="Arial"/>
          <w:sz w:val="24"/>
          <w:szCs w:val="24"/>
        </w:rPr>
        <w:t xml:space="preserve">Частью 4 статьи 1 проекта конституционного Закона предлагается </w:t>
      </w:r>
      <w:r>
        <w:rPr>
          <w:rFonts w:ascii="Arial" w:cs="Arial" w:eastAsia="Arial" w:hAnsi="Arial"/>
          <w:sz w:val="24"/>
          <w:szCs w:val="24"/>
        </w:rPr>
        <w:t xml:space="preserve">статью 41</w:t>
      </w:r>
      <w:r>
        <w:rPr>
          <w:rFonts w:ascii="Arial" w:cs="Arial" w:eastAsia="Arial" w:hAnsi="Arial"/>
          <w:sz w:val="24"/>
          <w:szCs w:val="24"/>
        </w:rPr>
        <w:t xml:space="preserve"> </w:t>
      </w:r>
      <w:hyperlink w:history="1" r:id="rIdpjhdwl-ys4frpkm6ny_1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дополнить частью 19 и предусмотреть в ней норму, согласно которой в период со дня официального опубликования решения о назначении выборов и до дня официального объявления результатов выборов договора на оплату труда граждан за выполнение (оказание) ими работы (услуги) в качестве членов выборных штабов, уполномоченных представителей, доверенных лиц политических партий, а также по сбору подписей избирателей и ведению предвыборной агитации (агитаторов) освобождаются от уплаты налогов и социальных отчислений.</w:t>
      </w:r>
    </w:p>
    <w:p>
      <w:pPr>
        <w:spacing w:after="60"/>
        <w:ind w:firstLine="567"/>
        <w:jc w:val="both"/>
      </w:pPr>
      <w:r>
        <w:rPr>
          <w:rFonts w:ascii="Arial" w:cs="Arial" w:eastAsia="Arial" w:hAnsi="Arial"/>
          <w:sz w:val="24"/>
          <w:szCs w:val="24"/>
        </w:rPr>
        <w:t xml:space="preserve">При этом, согласно части 6 </w:t>
      </w:r>
      <w:r>
        <w:rPr>
          <w:rFonts w:ascii="Arial" w:cs="Arial" w:eastAsia="Arial" w:hAnsi="Arial"/>
          <w:sz w:val="24"/>
          <w:szCs w:val="24"/>
        </w:rPr>
        <w:t xml:space="preserve">статьи 5</w:t>
      </w:r>
      <w:r>
        <w:rPr>
          <w:rFonts w:ascii="Arial" w:cs="Arial" w:eastAsia="Arial" w:hAnsi="Arial"/>
          <w:sz w:val="24"/>
          <w:szCs w:val="24"/>
        </w:rPr>
        <w:t xml:space="preserve">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данным Кодексом.</w:t>
      </w:r>
    </w:p>
    <w:p>
      <w:pPr>
        <w:spacing w:after="60"/>
        <w:ind w:firstLine="567"/>
        <w:jc w:val="both"/>
      </w:pPr>
      <w:r>
        <w:rPr>
          <w:rFonts w:ascii="Arial" w:cs="Arial" w:eastAsia="Arial" w:hAnsi="Arial"/>
          <w:sz w:val="24"/>
          <w:szCs w:val="24"/>
        </w:rPr>
        <w:t xml:space="preserve">Так, согласно нормам </w:t>
      </w:r>
      <w:r>
        <w:rPr>
          <w:rFonts w:ascii="Arial" w:cs="Arial" w:eastAsia="Arial" w:hAnsi="Arial"/>
          <w:sz w:val="24"/>
          <w:szCs w:val="24"/>
        </w:rPr>
        <w:t xml:space="preserve">статьи 10</w:t>
      </w:r>
      <w:r>
        <w:rPr>
          <w:rFonts w:ascii="Arial" w:cs="Arial" w:eastAsia="Arial" w:hAnsi="Arial"/>
          <w:sz w:val="24"/>
          <w:szCs w:val="24"/>
        </w:rPr>
        <w:t xml:space="preserve"> Налогового кодекса Кыргызской Республики запрещается предоставление налоговых льгот индивидуального характера.</w:t>
      </w:r>
    </w:p>
    <w:p>
      <w:pPr>
        <w:spacing w:after="60"/>
        <w:ind w:firstLine="567"/>
        <w:jc w:val="both"/>
      </w:pPr>
      <w:r>
        <w:rPr>
          <w:rFonts w:ascii="Arial" w:cs="Arial" w:eastAsia="Arial" w:hAnsi="Arial"/>
          <w:sz w:val="24"/>
          <w:szCs w:val="24"/>
        </w:rPr>
        <w:t xml:space="preserve">Также следует отметить, что в справках-обоснованиях к проектам законов не указывается, что вносимые изменения повлекут выпадение налоговых поступлений в отношении уплаты подоходного налога физическими лицами. В связи с чем предоставление налоговых льгот в отношении вышеуказанных выплат из избирательных фондов на оплату труда граждан за выполнение (оказание) ими работ (услуг), непосредственно связанных с проведением выборной кампании, приведет к выпадению доходов бюджета в связи с принятием вносимых изменений.</w:t>
      </w:r>
    </w:p>
    <w:p>
      <w:pPr>
        <w:spacing w:after="60"/>
        <w:ind w:firstLine="567"/>
        <w:jc w:val="both"/>
      </w:pPr>
      <w:r>
        <w:rPr>
          <w:rFonts w:ascii="Arial" w:cs="Arial" w:eastAsia="Arial" w:hAnsi="Arial"/>
          <w:sz w:val="24"/>
          <w:szCs w:val="24"/>
        </w:rPr>
        <w:t xml:space="preserve">Касательно освобождения от социальных отчислений, отмечаем, что в соответствии с частью 1 </w:t>
      </w:r>
      <w:r>
        <w:rPr>
          <w:rFonts w:ascii="Arial" w:cs="Arial" w:eastAsia="Arial" w:hAnsi="Arial"/>
          <w:sz w:val="24"/>
          <w:szCs w:val="24"/>
        </w:rPr>
        <w:t xml:space="preserve">статьи 23</w:t>
      </w:r>
      <w:r>
        <w:rPr>
          <w:rFonts w:ascii="Arial" w:cs="Arial" w:eastAsia="Arial" w:hAnsi="Arial"/>
          <w:sz w:val="24"/>
          <w:szCs w:val="24"/>
        </w:rPr>
        <w:t xml:space="preserve"> Закона Кыргызской Республики "О государственном социальном страховании"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за работу по договорам подряда, поручения и авторские гонорары за выполненные работы.</w:t>
      </w:r>
    </w:p>
    <w:p>
      <w:pPr>
        <w:spacing w:after="60"/>
        <w:ind w:firstLine="567"/>
        <w:jc w:val="both"/>
      </w:pPr>
      <w:r>
        <w:rPr>
          <w:rFonts w:ascii="Arial" w:cs="Arial" w:eastAsia="Arial" w:hAnsi="Arial"/>
          <w:sz w:val="24"/>
          <w:szCs w:val="24"/>
        </w:rPr>
        <w:t xml:space="preserve">Аналогичное замечание по части 7 статьи 1 проекта Закона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Согласно части 5 статьи 1 законопроекта </w:t>
      </w:r>
      <w:r>
        <w:rPr>
          <w:rFonts w:ascii="Arial" w:cs="Arial" w:eastAsia="Arial" w:hAnsi="Arial"/>
          <w:sz w:val="24"/>
          <w:szCs w:val="24"/>
        </w:rPr>
        <w:t xml:space="preserve">статью 43</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предлагается дополнить частью 7, в соответствии с которой неправомерный отказ в рассмотрении заявления является основанием для освобождения от занимаемой должности ответственного должностного лица уполномоченного государственного органа.</w:t>
      </w:r>
    </w:p>
    <w:p>
      <w:pPr>
        <w:spacing w:after="60"/>
        <w:ind w:firstLine="567"/>
        <w:jc w:val="both"/>
      </w:pPr>
      <w:r>
        <w:rPr>
          <w:rFonts w:ascii="Arial" w:cs="Arial" w:eastAsia="Arial" w:hAnsi="Arial"/>
          <w:sz w:val="24"/>
          <w:szCs w:val="24"/>
        </w:rPr>
        <w:t xml:space="preserve">Необходимо отметить, что вопросы назначения и освобождения государственных гражданских служащих регламентируются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государственной гражданской службе и муниципальной службе". Назначение и освобождение сотрудников правоохранительных органов регулируются специальными законами и иными нормативными правовыми актами.</w:t>
      </w:r>
    </w:p>
    <w:p>
      <w:pPr>
        <w:spacing w:after="60"/>
        <w:ind w:firstLine="567"/>
        <w:jc w:val="both"/>
      </w:pPr>
      <w:r>
        <w:rPr>
          <w:rFonts w:ascii="Arial" w:cs="Arial" w:eastAsia="Arial" w:hAnsi="Arial"/>
          <w:sz w:val="24"/>
          <w:szCs w:val="24"/>
        </w:rPr>
        <w:t xml:space="preserve">На основании вышеизложенного отмечаем, что предлагаемая выше норма является предметом регулирования обозначенных нормативных правовых актов.</w:t>
      </w:r>
    </w:p>
    <w:p>
      <w:pPr>
        <w:spacing w:after="60"/>
        <w:ind w:firstLine="567"/>
        <w:jc w:val="both"/>
      </w:pPr>
      <w:r>
        <w:rPr>
          <w:rFonts w:ascii="Arial" w:cs="Arial" w:eastAsia="Arial" w:hAnsi="Arial"/>
          <w:sz w:val="24"/>
          <w:szCs w:val="24"/>
        </w:rPr>
        <w:t xml:space="preserve">Аналогичное замечание по части 30 статьи 1 проекта Закона Кыргызской Республики "О внесении изменений в </w:t>
      </w:r>
      <w:hyperlink w:history="1" r:id="rIdawq3sk8a9exkdxxevuij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Следует обратить внимание, что в случае принятия представленных проектов законов реализация заложенных в них норм повлечет за собой увеличение расходов республиканского бюджета и сокращение его доходной части.</w:t>
      </w:r>
    </w:p>
    <w:p>
      <w:pPr>
        <w:spacing w:after="60"/>
        <w:ind w:firstLine="567"/>
        <w:jc w:val="both"/>
      </w:pPr>
      <w:r>
        <w:rPr>
          <w:rFonts w:ascii="Arial" w:cs="Arial" w:eastAsia="Arial" w:hAnsi="Arial"/>
          <w:sz w:val="24"/>
          <w:szCs w:val="24"/>
        </w:rPr>
        <w:t xml:space="preserve">Так, например, частью 3 статьи 1 проекта конституционного Закона Кыргызской Республики предусматривается установление в помещениях для голосования мониторов диагональю не менее 1 метра.</w:t>
      </w:r>
    </w:p>
    <w:p>
      <w:pPr>
        <w:spacing w:after="120"/>
        <w:jc w:val="both"/>
      </w:pPr>
      <w:r>
        <w:rPr>
          <w:rFonts w:ascii="Arial" w:cs="Arial" w:eastAsia="Arial" w:hAnsi="Arial"/>
          <w:sz w:val="24"/>
          <w:szCs w:val="24"/>
        </w:rPr>
        <w:t xml:space="preserve">Вместе с тем, к проекту Закона не представлены финансово-экономическое обоснование, соответствующие расчеты, а также сведения об источниках финансирования.</w:t>
      </w:r>
    </w:p>
    <w:p>
      <w:pPr>
        <w:spacing w:after="120"/>
        <w:jc w:val="both"/>
      </w:pPr>
      <w:r>
        <w:rPr>
          <w:rFonts w:ascii="Arial" w:cs="Arial" w:eastAsia="Arial" w:hAnsi="Arial"/>
          <w:sz w:val="24"/>
          <w:szCs w:val="24"/>
        </w:rPr>
        <w:t xml:space="preserve">Согласно части 4 </w:t>
      </w:r>
      <w:r>
        <w:rPr>
          <w:rFonts w:ascii="Arial" w:cs="Arial" w:eastAsia="Arial" w:hAnsi="Arial"/>
          <w:sz w:val="24"/>
          <w:szCs w:val="24"/>
        </w:rPr>
        <w:t xml:space="preserve">статьи 5</w:t>
      </w:r>
      <w:r>
        <w:rPr>
          <w:rFonts w:ascii="Arial" w:cs="Arial" w:eastAsia="Arial" w:hAnsi="Arial"/>
          <w:sz w:val="24"/>
          <w:szCs w:val="24"/>
        </w:rPr>
        <w:t xml:space="preserve"> </w:t>
      </w:r>
      <w:hyperlink w:history="1" r:id="rIdm_vqhtmnvtt_imzmsi25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В связи с вышеизложенным Правительство Кыргызской Республики считает возможным принятие проектов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выборах депутатов местных кенешей" с учетом представленных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gm0xh8vd7tpqxdv9lge">
      <w:r>
        <w:rPr>
          <w:rFonts w:ascii="Arial" w:cs="Arial" w:eastAsia="Arial" w:hAnsi="Arial"/>
          <w:color w:val="132D3F"/>
          <w:sz w:val="16"/>
          <w:szCs w:val="16"/>
          <w:u w:val="single"/>
        </w:rPr>
        <w:t xml:space="preserve">dalil.kg/document/98651</w:t>
      </w:r>
    </w:hyperlink>
  </w:p>
  <w:p>
    <w:pPr>
      <w:spacing w:after="0" w:before="40"/>
      <w:jc w:val="center"/>
    </w:pPr>
    <w:hyperlink w:history="1" r:id="rIddtedoapk2ymr4g6iqdr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1h9ocfbjyyhnhsquh_v" Type="http://schemas.openxmlformats.org/officeDocument/2006/relationships/hyperlink" Target="https://dalil.kg/document/203685" TargetMode="External"/><Relationship Id="rIdiwt7svfwgm3-cl5igssvp" Type="http://schemas.openxmlformats.org/officeDocument/2006/relationships/hyperlink" Target="https://dalil.kg/document/98651#p1" TargetMode="External"/><Relationship Id="rIdyajernkgnu8zpngwxeh3c" Type="http://schemas.openxmlformats.org/officeDocument/2006/relationships/hyperlink" Target="https://dalil.kg/document/203244" TargetMode="External"/><Relationship Id="rIdz9myvmpienfaxeiostttn" Type="http://schemas.openxmlformats.org/officeDocument/2006/relationships/hyperlink" Target="https://dalil.kg/document/203103" TargetMode="External"/><Relationship Id="rIdrkckxq93zxktrb3ootxna" Type="http://schemas.openxmlformats.org/officeDocument/2006/relationships/hyperlink" Target="https://dalil.kg/document/203685" TargetMode="External"/><Relationship Id="rId_vtvx01btgrdjidtuurdf" Type="http://schemas.openxmlformats.org/officeDocument/2006/relationships/hyperlink" Target="https://dalil.kg/document/203244" TargetMode="External"/><Relationship Id="rIdu7xdkt1jxs5trd7gad0cn" Type="http://schemas.openxmlformats.org/officeDocument/2006/relationships/hyperlink" Target="https://dalil.kg/document/202913" TargetMode="External"/><Relationship Id="rIdekfj80rylnk3viejt6jii" Type="http://schemas.openxmlformats.org/officeDocument/2006/relationships/hyperlink" Target="https://dalil.kg/document/202913" TargetMode="External"/><Relationship Id="rIdpjhdwl-ys4frpkm6ny_1c" Type="http://schemas.openxmlformats.org/officeDocument/2006/relationships/hyperlink" Target="https://dalil.kg/document/203244" TargetMode="External"/><Relationship Id="rIdawq3sk8a9exkdxxevuij9" Type="http://schemas.openxmlformats.org/officeDocument/2006/relationships/hyperlink" Target="https://dalil.kg/document/203103" TargetMode="External"/><Relationship Id="rIdm_vqhtmnvtt_imzmsi252"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gm0xh8vd7tpqxdv9lge" Type="http://schemas.openxmlformats.org/officeDocument/2006/relationships/hyperlink" Target="https://dalil.kg/document/98651" TargetMode="External"/><Relationship Id="rIddtedoapk2ymr4g6iqdr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2026-10-04T20:10:21.541Z</dcterms:created>
  <dcterms:modified xsi:type="dcterms:W3CDTF">2026-10-04T20:10:21.541Z</dcterms:modified>
</cp:coreProperties>
</file>

<file path=docProps/custom.xml><?xml version="1.0" encoding="utf-8"?>
<Properties xmlns="http://schemas.openxmlformats.org/officeDocument/2006/custom-properties" xmlns:vt="http://schemas.openxmlformats.org/officeDocument/2006/docPropsVTypes"/>
</file>