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 февраля 2017 года № 60</w:t>
      </w:r>
    </w:p>
    <w:p>
      <w:pPr>
        <w:spacing w:after="480" w:before="200"/>
        <w:jc w:val="center"/>
      </w:pPr>
      <w:r>
        <w:rPr>
          <w:rFonts w:ascii="Arial" w:cs="Arial" w:eastAsia="Arial" w:hAnsi="Arial"/>
          <w:b/>
          <w:bCs/>
          <w:sz w:val="28"/>
          <w:szCs w:val="28"/>
        </w:rPr>
        <w:t xml:space="preserve">Об утверждении Правил перевозки крупногабаритных и тяжеловесных грузов автомобильным транспортом</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fpwgucmhittnaoashrkoq">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ctobp6ocolg5geacv31j7">
        <w:r>
          <w:rPr>
            <w:rFonts w:ascii="Arial" w:cs="Arial" w:eastAsia="Arial" w:hAnsi="Arial"/>
            <w:i/>
            <w:iCs/>
            <w:color w:val="1D4ED8"/>
            <w:sz w:val="24"/>
            <w:szCs w:val="24"/>
            <w:u w:val="single"/>
          </w:rPr>
          <w:t xml:space="preserve">5 ноября 2025 года № 720</w:t>
        </w:r>
      </w:hyperlink>
      <w:r>
        <w:rPr>
          <w:rFonts w:ascii="Arial" w:cs="Arial" w:eastAsia="Arial" w:hAnsi="Arial"/>
          <w:i/>
          <w:iCs/>
          <w:sz w:val="24"/>
          <w:szCs w:val="24"/>
        </w:rPr>
        <w:t xml:space="preserve">, </w:t>
      </w:r>
      <w:hyperlink w:history="1" r:id="rIdfnhqcqzizy_g9d_seenls">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безопасной перевозки крупногабаритных и тяжеловесных грузов автомобильным транспортом, в соответствии со </w:t>
      </w:r>
      <w:r>
        <w:rPr>
          <w:rFonts w:ascii="Arial" w:cs="Arial" w:eastAsia="Arial" w:hAnsi="Arial"/>
          <w:sz w:val="24"/>
          <w:szCs w:val="24"/>
        </w:rPr>
        <w:t xml:space="preserve">статьей 12</w:t>
      </w:r>
      <w:hyperlink w:history="1" r:id="rIdsktdy15euy9ifmw4346ou">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"Об автомобильном транспорте",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xwkvsrlkdvsozxra9hd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4yc3rru3hz0mgkwhqbbhu">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перевозки крупногабаритных и тяжеловесных грузов автомобильным транспортом согласно приложению.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ПРАВИЛА
 перевозки крупногабаритных и тяжеловесных грузов автомобильным транспортом</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vbw_8f-akbzekcwkuawlw">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ulsly5dqi7stq6qm5l5uf">
        <w:r>
          <w:rPr>
            <w:rFonts w:ascii="Arial" w:cs="Arial" w:eastAsia="Arial" w:hAnsi="Arial"/>
            <w:i/>
            <w:iCs/>
            <w:color w:val="1D4ED8"/>
            <w:sz w:val="24"/>
            <w:szCs w:val="24"/>
            <w:u w:val="single"/>
          </w:rPr>
          <w:t xml:space="preserve">5 ноября 2025 года № 720, </w:t>
        </w:r>
      </w:hyperlink>
      <w:hyperlink w:history="1" r:id="rIdmzecbmcbfysqokkbb1lkg">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устанавливают порядок согласования перевозки крупногабаритных и тяжеловесных грузов автомобильным транспортом независимо от организационных форм собственности его владельца по дорогам на территории Кыргызской Республики.</w:t>
      </w:r>
    </w:p>
    <w:p>
      <w:pPr>
        <w:spacing w:after="60"/>
        <w:ind w:firstLine="567"/>
        <w:jc w:val="both"/>
      </w:pPr>
      <w:r>
        <w:rPr>
          <w:rFonts w:ascii="Arial" w:cs="Arial" w:eastAsia="Arial" w:hAnsi="Arial"/>
          <w:sz w:val="24"/>
          <w:szCs w:val="24"/>
        </w:rPr>
        <w:t xml:space="preserve">2. Правила определяют основные требования к техническому состоянию, оборудованию и дополнительному оснащению транспортных средств, используемых для перевозки крупногабаритных и тяжеловесных грузов, а также действия уполномоченного государственного органа в сфере обеспечения безопасности дорожного движения по обеспечению безопасности таких перевозок.</w:t>
      </w:r>
    </w:p>
    <w:p>
      <w:pPr>
        <w:spacing w:after="60"/>
        <w:ind w:firstLine="567"/>
        <w:jc w:val="both"/>
      </w:pPr>
      <w:r>
        <w:rPr>
          <w:rFonts w:ascii="Arial" w:cs="Arial" w:eastAsia="Arial" w:hAnsi="Arial"/>
          <w:sz w:val="24"/>
          <w:szCs w:val="24"/>
        </w:rPr>
        <w:t xml:space="preserve">3. Транспортное средство с грузом или без груза считается крупногабаритным и тяжеловесным, если его размеры превышают показатели, установленные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w:t>
      </w:r>
      <w:r>
        <w:rPr>
          <w:rFonts w:ascii="Arial" w:cs="Arial" w:eastAsia="Arial" w:hAnsi="Arial"/>
          <w:sz w:val="24"/>
          <w:szCs w:val="24"/>
        </w:rPr>
        <w:t xml:space="preserve">Порядка</w:t>
      </w:r>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60"/>
        <w:ind w:firstLine="567"/>
        <w:jc w:val="both"/>
      </w:pPr>
      <w:r>
        <w:rPr>
          <w:rFonts w:ascii="Arial" w:cs="Arial" w:eastAsia="Arial" w:hAnsi="Arial"/>
          <w:sz w:val="24"/>
          <w:szCs w:val="24"/>
        </w:rPr>
        <w:t xml:space="preserve">4. Перевозка крупногабаритных и тяжеловесных грузов автомобильным транспортом осуществляется в случае, если перевозимый груз при перевозке по автомобильным дорогам не может быть разделен на две или более части без чрезмерных затрат или без риска его порчи.</w:t>
      </w:r>
    </w:p>
    <w:p>
      <w:pPr>
        <w:spacing w:after="200" w:before="200"/>
        <w:jc w:val="center"/>
      </w:pPr>
      <w:r>
        <w:rPr>
          <w:rFonts w:ascii="Arial" w:cs="Arial" w:eastAsia="Arial" w:hAnsi="Arial"/>
          <w:b/>
          <w:bCs/>
          <w:sz w:val="24"/>
          <w:szCs w:val="24"/>
        </w:rPr>
        <w:t xml:space="preserve">2. Порядок согласования маршрута движения</w:t>
      </w:r>
    </w:p>
    <w:p>
      <w:pPr>
        <w:spacing w:after="120"/>
        <w:ind w:firstLine="567"/>
        <w:jc w:val="both"/>
      </w:pPr>
      <w:r>
        <w:rPr>
          <w:rFonts w:ascii="Arial" w:cs="Arial" w:eastAsia="Arial" w:hAnsi="Arial"/>
          <w:sz w:val="24"/>
          <w:szCs w:val="24"/>
        </w:rPr>
        <w:t xml:space="preserve">5. Перевозка крупногабаритных и тяжеловесных грузов автомобильным транспортом независимо от форм собственности его владельца по дорогам общего пользования Кыргызской Республики осуществляется после согласования маршрута движения перевозки крупногабаритных и тяжеловесных грузов с уполномоченным государственным органом в сфере обеспечения безопасности дорожного движения и выдачи специального разрешения уполномоченным государственным органом в сфере регулирования и контроля на автомобильном транспорте. Процедура согласования специального разрешения уполномоченным государственным органом в сфере безопасности дорожного движения производится в цифровом формате в течение 3-х часов.</w:t>
      </w:r>
    </w:p>
    <w:p>
      <w:pPr>
        <w:spacing w:after="120"/>
        <w:ind w:firstLine="567"/>
        <w:jc w:val="both"/>
      </w:pPr>
      <w:r>
        <w:rPr>
          <w:rFonts w:ascii="Arial" w:cs="Arial" w:eastAsia="Arial" w:hAnsi="Arial"/>
          <w:sz w:val="24"/>
          <w:szCs w:val="24"/>
        </w:rPr>
        <w:t xml:space="preserve">Перечень документов для получения специального разрешения устанавливается </w:t>
      </w:r>
      <w:r>
        <w:rPr>
          <w:rFonts w:ascii="Arial" w:cs="Arial" w:eastAsia="Arial" w:hAnsi="Arial"/>
          <w:sz w:val="24"/>
          <w:szCs w:val="24"/>
        </w:rPr>
        <w:t xml:space="preserve">Порядком</w:t>
      </w:r>
      <w:r>
        <w:rPr>
          <w:rFonts w:ascii="Arial" w:cs="Arial" w:eastAsia="Arial" w:hAnsi="Arial"/>
          <w:sz w:val="24"/>
          <w:szCs w:val="24"/>
        </w:rPr>
        <w:t xml:space="preserve"> пропуска и взимания сборов за проезд транспортных средств с неделимым грузом, специальных транспортных средств по автомобильным дорогам общего пользования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августа 2011 года № 454.</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ray9c8uetbgv9zw6b1ke">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 </w:t>
      </w:r>
      <w:hyperlink w:history="1" r:id="rIdzaon0dzciuuialyrtg3ne">
        <w:r>
          <w:rPr>
            <w:rFonts w:ascii="Arial" w:cs="Arial" w:eastAsia="Arial" w:hAnsi="Arial"/>
            <w:i/>
            <w:iCs/>
            <w:color w:val="1D4ED8"/>
            <w:sz w:val="24"/>
            <w:szCs w:val="24"/>
            <w:u w:val="single"/>
          </w:rPr>
          <w:t xml:space="preserve">5 ноября 2025 года № 720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При высоте транспортного средства с грузом над поверхностью проезжей части более 5,0 м требуется обязательное согласование маршрута со службами электротранспорта, электросети, электросвязи, электрификации.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zmih2ifl1oec2owvlgvp">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Согласование маршрута движения перевозки крупногабаритных и тяжеловесных грузов с дистанцией пути железной дороги производится:</w:t>
      </w:r>
    </w:p>
    <w:p>
      <w:pPr>
        <w:spacing w:after="60"/>
        <w:ind w:firstLine="567"/>
        <w:jc w:val="both"/>
      </w:pPr>
      <w:r>
        <w:rPr>
          <w:rFonts w:ascii="Arial" w:cs="Arial" w:eastAsia="Arial" w:hAnsi="Arial"/>
          <w:sz w:val="24"/>
          <w:szCs w:val="24"/>
        </w:rPr>
        <w:t xml:space="preserve">- при пересечении маршрута перевозки с железнодорожными путями в одном уровне, если габариты транспортного средства с грузом или без груза превышают по ширине 5 м, по высоте над поверхностью проезжей части 4,5 м, по длине автопоезда с одним прицепом (полуприцепом) 20 м, с двумя и более прицепами 24 м, а также в случаях, когда общий фактический вес транспортного средства превышает 52 тонносил (далее т.с.) или скорость движения составляет менее 5 км/час;</w:t>
      </w:r>
    </w:p>
    <w:p>
      <w:pPr>
        <w:spacing w:after="60"/>
        <w:ind w:firstLine="567"/>
        <w:jc w:val="both"/>
      </w:pPr>
      <w:r>
        <w:rPr>
          <w:rFonts w:ascii="Arial" w:cs="Arial" w:eastAsia="Arial" w:hAnsi="Arial"/>
          <w:sz w:val="24"/>
          <w:szCs w:val="24"/>
        </w:rPr>
        <w:t xml:space="preserve">- при прохождении маршрута перевозки под железнодорожным мостом, путепроводом, если ширина транспортного средства с грузом или без груза более 5 м, а высота над поверхностью проезжей части более 4,35 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lplsyarccmeflnzro4pp">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gdwvyxs5yxu0rrqhsykq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2026 года № 64)</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Порядок согласования маршрута движения и специального разрешения на перевозку крупногабаритных и тяжеловесных грузов устанавливается решением уполномоченного государственного органа в сфере внутренних дел.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xq0hteot_yiekz3xj-lm">
        <w:r>
          <w:rPr>
            <w:rFonts w:ascii="Arial" w:cs="Arial" w:eastAsia="Arial" w:hAnsi="Arial"/>
            <w:i/>
            <w:iCs/>
            <w:color w:val="1D4ED8"/>
            <w:sz w:val="24"/>
            <w:szCs w:val="24"/>
            <w:u w:val="single"/>
          </w:rPr>
          <w:t xml:space="preserve">5 февраля 2026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8oyl6_gdl2x-8r5zmjrzc">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rsudbcp6wevrlr4ydeljy">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при согласовании маршрута движения перевозки крупногабаритных и тяжеловесных грузов</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o6ukzp_4bnuj0mh0n3g28">
        <w:r>
          <w:rPr>
            <w:rFonts w:ascii="Arial" w:cs="Arial" w:eastAsia="Arial" w:hAnsi="Arial"/>
            <w:i/>
            <w:iCs/>
            <w:color w:val="1D4ED8"/>
            <w:sz w:val="24"/>
            <w:szCs w:val="24"/>
            <w:u w:val="single"/>
          </w:rPr>
          <w:t xml:space="preserve">14 января 2021 года № 12</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Перевозка крупногабаритных и тяжеловесных грузов разрешается в часы наименьшей интенсивности движения и вне населенных пунктов только в светлое время суток. Как исключение, в темное время суток по дорогам вне населенных пунктов перевозка крупногабаритных и тяжеловесных грузов допускается лишь при условии выделения сопровождения автомобилем прикрытия, оборудованным сигнальными световыми маячками, или патрульным автомобилем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13. Не допускается перевозка крупногабаритных и тяжеловесных грузов в временные промежутки, когда происходит массовое передвижение людей, чаще всего от мест их проживания к местам работы - утром (примерно с 7 до 9 часов) или в обратном направлении - вечером (примерно с 17 до 19 часов), в обеденное время (с 12 до 14 часов), а также во время суток, когда с учетом дорожных условий и интенсивностью движения перевозка крупногабаритных и тяжеловесных грузов создает повышенную опасность для движения транспортных средств.</w:t>
      </w:r>
    </w:p>
    <w:p>
      <w:pPr>
        <w:spacing w:after="60"/>
        <w:ind w:firstLine="567"/>
        <w:jc w:val="both"/>
      </w:pPr>
      <w:r>
        <w:rPr>
          <w:rFonts w:ascii="Arial" w:cs="Arial" w:eastAsia="Arial" w:hAnsi="Arial"/>
          <w:sz w:val="24"/>
          <w:szCs w:val="24"/>
        </w:rPr>
        <w:t xml:space="preserve">14. Допустимая скорость движения крупногабаритных или тяжеловесных транспортных средств согласовывается с уполномоченным органом в сфере обеспечения безопасности дорожного движения при согласовании маршрута, в зависимости от габаритов, веса, особенностей перевозимого груза, а также дорожных условий. Максимальная устанавливаемая скорость не должна быть более 50 км/час. Знак ограничения скорости должен быть установлен на транспортном средстве в соответствии с пунктом 10.3.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утвержденных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Основных </w:t>
      </w:r>
      <w:r>
        <w:rPr>
          <w:rFonts w:ascii="Arial" w:cs="Arial" w:eastAsia="Arial" w:hAnsi="Arial"/>
          <w:sz w:val="24"/>
          <w:szCs w:val="24"/>
        </w:rPr>
        <w:t xml:space="preserve">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(далее - Правила дорожного движения).</w:t>
      </w:r>
    </w:p>
    <w:p>
      <w:pPr>
        <w:spacing w:after="60"/>
        <w:ind w:firstLine="567"/>
        <w:jc w:val="both"/>
      </w:pPr>
      <w:r>
        <w:rPr>
          <w:rFonts w:ascii="Arial" w:cs="Arial" w:eastAsia="Arial" w:hAnsi="Arial"/>
          <w:sz w:val="24"/>
          <w:szCs w:val="24"/>
        </w:rPr>
        <w:t xml:space="preserve">15. Необходимость и вид сопровождения определяются уполномоченным государственным органом в сфере обеспечения безопасности дорожного движения при согласовании маршрута движения перевозки крупногабаритных и тяжеловесных грузов.</w:t>
      </w:r>
    </w:p>
    <w:p>
      <w:pPr>
        <w:spacing w:after="60"/>
        <w:ind w:firstLine="567"/>
        <w:jc w:val="both"/>
      </w:pPr>
      <w:r>
        <w:rPr>
          <w:rFonts w:ascii="Arial" w:cs="Arial" w:eastAsia="Arial" w:hAnsi="Arial"/>
          <w:sz w:val="24"/>
          <w:szCs w:val="24"/>
        </w:rPr>
        <w:t xml:space="preserve">16. Сопровождение осуществляется:</w:t>
      </w:r>
    </w:p>
    <w:p>
      <w:pPr>
        <w:spacing w:after="60"/>
        <w:ind w:firstLine="567"/>
        <w:jc w:val="both"/>
      </w:pPr>
      <w:r>
        <w:rPr>
          <w:rFonts w:ascii="Arial" w:cs="Arial" w:eastAsia="Arial" w:hAnsi="Arial"/>
          <w:sz w:val="24"/>
          <w:szCs w:val="24"/>
        </w:rPr>
        <w:t xml:space="preserve">- автомобилем прикрытия, а также тягачом или толкачом (в зависимости от вида перевозимого груза и дорожных условий), которые выделяются организацией, транспортирующей груз, или грузоотправителем;</w:t>
      </w:r>
    </w:p>
    <w:p>
      <w:pPr>
        <w:spacing w:after="60"/>
        <w:ind w:firstLine="567"/>
        <w:jc w:val="both"/>
      </w:pPr>
      <w:r>
        <w:rPr>
          <w:rFonts w:ascii="Arial" w:cs="Arial" w:eastAsia="Arial" w:hAnsi="Arial"/>
          <w:sz w:val="24"/>
          <w:szCs w:val="24"/>
        </w:rPr>
        <w:t xml:space="preserve">- патрульным автомобилем уполномоченного государственного органа в сфере обеспечения безопасности дорожного движения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ind w:firstLine="567"/>
        <w:jc w:val="both"/>
      </w:pPr>
      <w:r>
        <w:rPr>
          <w:rFonts w:ascii="Arial" w:cs="Arial" w:eastAsia="Arial" w:hAnsi="Arial"/>
          <w:sz w:val="24"/>
          <w:szCs w:val="24"/>
        </w:rPr>
        <w:t xml:space="preserve">17. Сопровождение оборудованным автомобилем прикрытия обязательно во всех случаях, когда ширина перевозимого груза превышает 3,5 м или длина более 24 м, а также при движении транспортного средства со сверхнормативной нагрузкой (таблица 2), параметры которой изложены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Порядок движения автомобиля прикрытия и способ информации других участников движения об осуществлении перевозки указываются в маршрутном листе согласования в разделе "Особые условия движения"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18. Сопровождение патрульным автомобилем уполномоченного государственного органа в сфере обеспечения безопасности дорожного движения должно осуществляться, если:</w:t>
      </w:r>
    </w:p>
    <w:p>
      <w:pPr>
        <w:spacing w:after="60"/>
        <w:ind w:firstLine="567"/>
        <w:jc w:val="both"/>
      </w:pPr>
      <w:r>
        <w:rPr>
          <w:rFonts w:ascii="Arial" w:cs="Arial" w:eastAsia="Arial" w:hAnsi="Arial"/>
          <w:sz w:val="24"/>
          <w:szCs w:val="24"/>
        </w:rPr>
        <w:t xml:space="preserve">- ширина перевозимого груза превышает 4,0 метра;</w:t>
      </w:r>
    </w:p>
    <w:p>
      <w:pPr>
        <w:spacing w:after="60"/>
        <w:ind w:firstLine="567"/>
        <w:jc w:val="both"/>
      </w:pPr>
      <w:r>
        <w:rPr>
          <w:rFonts w:ascii="Arial" w:cs="Arial" w:eastAsia="Arial" w:hAnsi="Arial"/>
          <w:sz w:val="24"/>
          <w:szCs w:val="24"/>
        </w:rPr>
        <w:t xml:space="preserve">- длина перевозимого груза превышает 30,0 метров.</w:t>
      </w:r>
    </w:p>
    <w:p>
      <w:pPr>
        <w:spacing w:after="60"/>
        <w:ind w:firstLine="567"/>
        <w:jc w:val="both"/>
      </w:pPr>
      <w:r>
        <w:rPr>
          <w:rFonts w:ascii="Arial" w:cs="Arial" w:eastAsia="Arial" w:hAnsi="Arial"/>
          <w:sz w:val="24"/>
          <w:szCs w:val="24"/>
        </w:rPr>
        <w:t xml:space="preserve">19. Автомобиль прикрытия должен двигаться впереди сопровождаемого транспортного средства. При этом по отношению к сопровождаемому транспортному средству автомобиль прикрытия должен двигаться уступом с левой стороны, т.е. таким образом, чтобы его габарит по ширине выступал за габарит сопровождаемого транспортного средства.</w:t>
      </w:r>
    </w:p>
    <w:p>
      <w:pPr>
        <w:spacing w:after="60"/>
        <w:ind w:firstLine="567"/>
        <w:jc w:val="both"/>
      </w:pPr>
      <w:r>
        <w:rPr>
          <w:rFonts w:ascii="Arial" w:cs="Arial" w:eastAsia="Arial" w:hAnsi="Arial"/>
          <w:sz w:val="24"/>
          <w:szCs w:val="24"/>
        </w:rPr>
        <w:t xml:space="preserve">20. Сопровождение патрульным автомобилем уполномоченного государственного органа в сфере обеспечения безопасности дорожного движения осуществляется в том же порядке, что и сопровождение автомобилем прикрытия.</w:t>
      </w:r>
    </w:p>
    <w:p>
      <w:pPr>
        <w:spacing w:after="60"/>
        <w:ind w:firstLine="567"/>
        <w:jc w:val="both"/>
      </w:pPr>
      <w:r>
        <w:rPr>
          <w:rFonts w:ascii="Arial" w:cs="Arial" w:eastAsia="Arial" w:hAnsi="Arial"/>
          <w:sz w:val="24"/>
          <w:szCs w:val="24"/>
        </w:rPr>
        <w:t xml:space="preserve">При осуществлении перевозки патрульный автомобиль должен обеспечивать своевременное перекрытие движения на пересекаемых улицах и дорогах с целью исключения аварийных ситуаций.</w:t>
      </w:r>
    </w:p>
    <w:p>
      <w:pPr>
        <w:spacing w:after="200" w:before="200"/>
        <w:jc w:val="center"/>
      </w:pPr>
      <w:r>
        <w:rPr>
          <w:rFonts w:ascii="Arial" w:cs="Arial" w:eastAsia="Arial" w:hAnsi="Arial"/>
          <w:b/>
          <w:bCs/>
          <w:sz w:val="24"/>
          <w:szCs w:val="24"/>
        </w:rPr>
        <w:t xml:space="preserve">4. Дополнительные требования к водителям</w:t>
      </w:r>
    </w:p>
    <w:p>
      <w:pPr>
        <w:spacing w:after="120"/>
        <w:ind w:firstLine="567"/>
        <w:jc w:val="both"/>
      </w:pPr>
      <w:r>
        <w:rPr>
          <w:rFonts w:ascii="Arial" w:cs="Arial" w:eastAsia="Arial" w:hAnsi="Arial"/>
          <w:sz w:val="24"/>
          <w:szCs w:val="24"/>
        </w:rPr>
        <w:t xml:space="preserve">21. К управлению транспортными средствами, на которых перевозятся крупногабаритные и тяжеловесные грузы, допускаются водители, имеющие водительское удостоверение на право управления транспортным средством соответствующей категории и стаж непрерывной работы в качестве водителя не менее 3 лет, также прошедшие инструктаж.</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o8deqjop38slab5k-x9x">
        <w:r>
          <w:rPr>
            <w:rFonts w:ascii="Arial" w:cs="Arial" w:eastAsia="Arial" w:hAnsi="Arial"/>
            <w:i/>
            <w:iCs/>
            <w:color w:val="1D4ED8"/>
            <w:sz w:val="24"/>
            <w:szCs w:val="24"/>
            <w:u w:val="single"/>
          </w:rPr>
          <w:t xml:space="preserve">5 ноября 2025 года № 720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перевозке крупногабаритных и тяжеловесных грузов водители должны руководствоваться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и требованиями настоящих Правил.</w:t>
      </w:r>
    </w:p>
    <w:p>
      <w:pPr>
        <w:spacing w:after="60"/>
        <w:ind w:firstLine="567"/>
        <w:jc w:val="both"/>
      </w:pPr>
      <w:r>
        <w:rPr>
          <w:rFonts w:ascii="Arial" w:cs="Arial" w:eastAsia="Arial" w:hAnsi="Arial"/>
          <w:sz w:val="24"/>
          <w:szCs w:val="24"/>
        </w:rPr>
        <w:t xml:space="preserve">23. В процессе движения водители обязаны:</w:t>
      </w:r>
    </w:p>
    <w:p>
      <w:pPr>
        <w:spacing w:after="60"/>
        <w:ind w:firstLine="567"/>
        <w:jc w:val="both"/>
      </w:pPr>
      <w:r>
        <w:rPr>
          <w:rFonts w:ascii="Arial" w:cs="Arial" w:eastAsia="Arial" w:hAnsi="Arial"/>
          <w:sz w:val="24"/>
          <w:szCs w:val="24"/>
        </w:rPr>
        <w:t xml:space="preserve">- принимать все необходимые меры, вплоть до остановки, для беспрепятственного и безопасного пропуска встречных транспортных средств;</w:t>
      </w:r>
    </w:p>
    <w:p>
      <w:pPr>
        <w:spacing w:after="60"/>
        <w:ind w:firstLine="567"/>
        <w:jc w:val="both"/>
      </w:pPr>
      <w:r>
        <w:rPr>
          <w:rFonts w:ascii="Arial" w:cs="Arial" w:eastAsia="Arial" w:hAnsi="Arial"/>
          <w:sz w:val="24"/>
          <w:szCs w:val="24"/>
        </w:rPr>
        <w:t xml:space="preserve">- не создавать помех для движения, периодически останавливаясь в разрешенных местах, для возможности пропуска скопившихся движущихся позади транспортных средств.</w:t>
      </w:r>
    </w:p>
    <w:p>
      <w:pPr>
        <w:spacing w:after="60"/>
        <w:ind w:firstLine="567"/>
        <w:jc w:val="both"/>
      </w:pPr>
      <w:r>
        <w:rPr>
          <w:rFonts w:ascii="Arial" w:cs="Arial" w:eastAsia="Arial" w:hAnsi="Arial"/>
          <w:sz w:val="24"/>
          <w:szCs w:val="24"/>
        </w:rPr>
        <w:t xml:space="preserve">24. Водителям запрещается:</w:t>
      </w:r>
    </w:p>
    <w:p>
      <w:pPr>
        <w:spacing w:after="60"/>
        <w:ind w:firstLine="567"/>
        <w:jc w:val="both"/>
      </w:pPr>
      <w:r>
        <w:rPr>
          <w:rFonts w:ascii="Arial" w:cs="Arial" w:eastAsia="Arial" w:hAnsi="Arial"/>
          <w:sz w:val="24"/>
          <w:szCs w:val="24"/>
        </w:rPr>
        <w:t xml:space="preserve">- совершать обгоны транспортных средств, движущихся со скоростью 30 км/ч и более;</w:t>
      </w:r>
    </w:p>
    <w:p>
      <w:pPr>
        <w:spacing w:after="60"/>
        <w:ind w:firstLine="567"/>
        <w:jc w:val="both"/>
      </w:pPr>
      <w:r>
        <w:rPr>
          <w:rFonts w:ascii="Arial" w:cs="Arial" w:eastAsia="Arial" w:hAnsi="Arial"/>
          <w:sz w:val="24"/>
          <w:szCs w:val="24"/>
        </w:rPr>
        <w:t xml:space="preserve">- буксировать другие транспортные средства;</w:t>
      </w:r>
    </w:p>
    <w:p>
      <w:pPr>
        <w:spacing w:after="60"/>
        <w:ind w:firstLine="567"/>
        <w:jc w:val="both"/>
      </w:pPr>
      <w:r>
        <w:rPr>
          <w:rFonts w:ascii="Arial" w:cs="Arial" w:eastAsia="Arial" w:hAnsi="Arial"/>
          <w:sz w:val="24"/>
          <w:szCs w:val="24"/>
        </w:rPr>
        <w:t xml:space="preserve">- двигаться по гололедице или в условиях, когда видимость менее 100 м;</w:t>
      </w:r>
    </w:p>
    <w:p>
      <w:pPr>
        <w:spacing w:after="60"/>
        <w:ind w:firstLine="567"/>
        <w:jc w:val="both"/>
      </w:pPr>
      <w:r>
        <w:rPr>
          <w:rFonts w:ascii="Arial" w:cs="Arial" w:eastAsia="Arial" w:hAnsi="Arial"/>
          <w:sz w:val="24"/>
          <w:szCs w:val="24"/>
        </w:rPr>
        <w:t xml:space="preserve">- двигаться по обочине дороги;</w:t>
      </w:r>
    </w:p>
    <w:p>
      <w:pPr>
        <w:spacing w:after="60"/>
        <w:ind w:firstLine="567"/>
        <w:jc w:val="both"/>
      </w:pPr>
      <w:r>
        <w:rPr>
          <w:rFonts w:ascii="Arial" w:cs="Arial" w:eastAsia="Arial" w:hAnsi="Arial"/>
          <w:sz w:val="24"/>
          <w:szCs w:val="24"/>
        </w:rPr>
        <w:t xml:space="preserve">- останавливаться вне специально обозначенных стоянок, расположенных за пределами земляного полотна дороги.</w:t>
      </w:r>
    </w:p>
    <w:p>
      <w:pPr>
        <w:spacing w:after="60"/>
        <w:ind w:firstLine="567"/>
        <w:jc w:val="both"/>
      </w:pPr>
      <w:r>
        <w:rPr>
          <w:rFonts w:ascii="Arial" w:cs="Arial" w:eastAsia="Arial" w:hAnsi="Arial"/>
          <w:sz w:val="24"/>
          <w:szCs w:val="24"/>
        </w:rPr>
        <w:t xml:space="preserve">25. Перевозка должна производиться строго по утвержденным, как минимум трем маршрутам следования (в случае возникновения препятствий по первому маршруту, движение продолжается по второму или третьему маршрутам). Разработку схем движения осуществляет перевозчик.</w:t>
      </w:r>
    </w:p>
    <w:p>
      <w:pPr>
        <w:spacing w:after="200" w:before="200"/>
        <w:jc w:val="center"/>
      </w:pPr>
      <w:r>
        <w:rPr>
          <w:rFonts w:ascii="Arial" w:cs="Arial" w:eastAsia="Arial" w:hAnsi="Arial"/>
          <w:b/>
          <w:bCs/>
          <w:sz w:val="24"/>
          <w:szCs w:val="24"/>
        </w:rPr>
        <w:t xml:space="preserve">5. Дополнительные требования к техническому состоянию, оборудованию транспортных средств и обозначению груза</w:t>
      </w:r>
    </w:p>
    <w:p>
      <w:pPr>
        <w:spacing w:after="60"/>
        <w:ind w:firstLine="567"/>
        <w:jc w:val="both"/>
      </w:pPr>
      <w:r>
        <w:rPr>
          <w:rFonts w:ascii="Arial" w:cs="Arial" w:eastAsia="Arial" w:hAnsi="Arial"/>
          <w:sz w:val="24"/>
          <w:szCs w:val="24"/>
        </w:rPr>
        <w:t xml:space="preserve">26. На транспортных средствах, используемых для перевозки крупногабаритных грузов, все приспособления и устройства, предназначенные для поддержки перевозимых грузов - захваты, конки, упоры, должны быть выполнены сдвигающимися (складывающимися) так, чтобы при движении без крупногабаритного груза транспортное средство находилось в допустимых габаритах.</w:t>
      </w:r>
    </w:p>
    <w:p>
      <w:pPr>
        <w:spacing w:after="60"/>
        <w:ind w:firstLine="567"/>
        <w:jc w:val="both"/>
      </w:pPr>
      <w:r>
        <w:rPr>
          <w:rFonts w:ascii="Arial" w:cs="Arial" w:eastAsia="Arial" w:hAnsi="Arial"/>
          <w:sz w:val="24"/>
          <w:szCs w:val="24"/>
        </w:rPr>
        <w:t xml:space="preserve">27. Техническое состояние транспортных средств, осуществляющих перевозки крупногабаритных и тяжеловесных грузов, должны отвечать требованиям технического регламента Таможенного союза ТР ТС 018/2011 "О безопасности колесных транспортных средств",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и требованиям настоящих Правил.</w:t>
      </w:r>
    </w:p>
    <w:p>
      <w:pPr>
        <w:spacing w:after="60"/>
        <w:ind w:firstLine="567"/>
        <w:jc w:val="both"/>
      </w:pPr>
      <w:r>
        <w:rPr>
          <w:rFonts w:ascii="Arial" w:cs="Arial" w:eastAsia="Arial" w:hAnsi="Arial"/>
          <w:sz w:val="24"/>
          <w:szCs w:val="24"/>
        </w:rPr>
        <w:t xml:space="preserve">28. При движении автопоезда в составе автомобиля-тягача с прицепом (полуприцепом) величина поперечных колебаний (влияние) прицепа относительно автомобиля-тягача в каждую сторону не должна превышать 3% от его габаритной ширины.</w:t>
      </w:r>
    </w:p>
    <w:p>
      <w:pPr>
        <w:spacing w:after="60"/>
        <w:ind w:firstLine="567"/>
        <w:jc w:val="both"/>
      </w:pPr>
      <w:r>
        <w:rPr>
          <w:rFonts w:ascii="Arial" w:cs="Arial" w:eastAsia="Arial" w:hAnsi="Arial"/>
          <w:sz w:val="24"/>
          <w:szCs w:val="24"/>
        </w:rPr>
        <w:t xml:space="preserve">29. Тормозная система автопоезда должна работать от педали тормоза автомобиля-тягача и обеспечивать такое распределение тормозных усилий между его звеньями, чтобы при торможении исключалась возможность "складывания" автопоезда.</w:t>
      </w:r>
    </w:p>
    <w:p>
      <w:pPr>
        <w:spacing w:after="60"/>
        <w:ind w:firstLine="567"/>
        <w:jc w:val="both"/>
      </w:pPr>
      <w:r>
        <w:rPr>
          <w:rFonts w:ascii="Arial" w:cs="Arial" w:eastAsia="Arial" w:hAnsi="Arial"/>
          <w:sz w:val="24"/>
          <w:szCs w:val="24"/>
        </w:rPr>
        <w:t xml:space="preserve">30. Автомобили-тягачи, предназначенные для работы с прицепами, должны быть оборудованы устройством, позволяющим в случае разрыва соединительных магистралей между автомобилем-тягачом и его прицепом или полуприцепом затормозить тягач рабочим или аварийным тормозом.</w:t>
      </w:r>
    </w:p>
    <w:p>
      <w:pPr>
        <w:spacing w:after="60"/>
        <w:ind w:firstLine="567"/>
        <w:jc w:val="both"/>
      </w:pPr>
      <w:r>
        <w:rPr>
          <w:rFonts w:ascii="Arial" w:cs="Arial" w:eastAsia="Arial" w:hAnsi="Arial"/>
          <w:sz w:val="24"/>
          <w:szCs w:val="24"/>
        </w:rPr>
        <w:t xml:space="preserve">31. Прицепы (полуприцепы) должны быть оборудованы стояночным тормозом, обеспечивающим надежное удержание на уклоне 16%, отсоединенного от автомобиля тягача груженого прицепа или полуприцепа, рабочим тормозом, действующим на все колеса прицепа (полуприцепа), и устройством, обеспечивающим их автоматическую остановку в случае разрыва соединительных магистралей с автомобилем-тягачом.</w:t>
      </w:r>
    </w:p>
    <w:p>
      <w:pPr>
        <w:spacing w:after="60"/>
        <w:ind w:firstLine="567"/>
        <w:jc w:val="both"/>
      </w:pPr>
      <w:r>
        <w:rPr>
          <w:rFonts w:ascii="Arial" w:cs="Arial" w:eastAsia="Arial" w:hAnsi="Arial"/>
          <w:sz w:val="24"/>
          <w:szCs w:val="24"/>
        </w:rPr>
        <w:t xml:space="preserve">32. При перевозке тяжеловесных грузов необходимо иметь по два противооткатных упоров для каждого звена автопоезда в целях дополнительной фиксации колес в случае вынужденной остановки на уклоне 5,9%. Кабина автомобиля должна быть оборудована не менее, чем двумя наружными зеркалами заднего вида, расположенными с левой и правой стороны кабины и обеспечивающими достаточный обзор в горизонтальной и вертикальной плоскостях с учетом габаритов перевозимого груза.</w:t>
      </w:r>
    </w:p>
    <w:p>
      <w:pPr>
        <w:spacing w:after="60"/>
        <w:ind w:firstLine="567"/>
        <w:jc w:val="both"/>
      </w:pPr>
      <w:r>
        <w:rPr>
          <w:rFonts w:ascii="Arial" w:cs="Arial" w:eastAsia="Arial" w:hAnsi="Arial"/>
          <w:sz w:val="24"/>
          <w:szCs w:val="24"/>
        </w:rPr>
        <w:t xml:space="preserve">33. Транспортные средства длиной свыше 6 метров, а также седельные тягачи должны иметь боковые повторители указателей поворота.</w:t>
      </w:r>
    </w:p>
    <w:p>
      <w:pPr>
        <w:spacing w:after="60"/>
        <w:ind w:firstLine="567"/>
        <w:jc w:val="both"/>
      </w:pPr>
      <w:r>
        <w:rPr>
          <w:rFonts w:ascii="Arial" w:cs="Arial" w:eastAsia="Arial" w:hAnsi="Arial"/>
          <w:sz w:val="24"/>
          <w:szCs w:val="24"/>
        </w:rPr>
        <w:t xml:space="preserve">34. На грузовых автомобилях с прицепами и полуприцепами над кабиной посередине должен устанавливаться опознавательный знак автопоезда равносторонний треугольник желтого цвета (сторона 250 миллиметров) с устройством для внутреннего освещения. Допускается обозначение автопоезда тремя фарами желтого цвета, расположенными горизонтально на кабине тягача.</w:t>
      </w:r>
    </w:p>
    <w:p>
      <w:pPr>
        <w:spacing w:after="60"/>
        <w:ind w:firstLine="567"/>
        <w:jc w:val="both"/>
      </w:pPr>
      <w:r>
        <w:rPr>
          <w:rFonts w:ascii="Arial" w:cs="Arial" w:eastAsia="Arial" w:hAnsi="Arial"/>
          <w:sz w:val="24"/>
          <w:szCs w:val="24"/>
        </w:rPr>
        <w:t xml:space="preserve">35. На задней стенке прицепа (полуприцепа) устанавливаются два светоотражающих приспособления красного цвета, каждое в виде равностороннего треугольника (сторона от 150 миллиметров до 200 миллиметров) с вершиной, обращенной вверх, расположенных на расстоянии не более 0,4 метра от наружного габарита по ширине. На передней стенке прицепа или полуприцепа должны быть установлены два белых светоотражающих приспособления круглой формы до 0,2 метра диаметром, на расстоянии не более 0,15 метра от наружного габарита по ширине.</w:t>
      </w:r>
    </w:p>
    <w:p>
      <w:pPr>
        <w:spacing w:after="60"/>
        <w:ind w:firstLine="567"/>
        <w:jc w:val="both"/>
      </w:pPr>
      <w:r>
        <w:rPr>
          <w:rFonts w:ascii="Arial" w:cs="Arial" w:eastAsia="Arial" w:hAnsi="Arial"/>
          <w:sz w:val="24"/>
          <w:szCs w:val="24"/>
        </w:rPr>
        <w:t xml:space="preserve">36. Груз, выступающий за габариты транспортного средства спереди или сзади более чем на 1 метр или по ширине на расстояние более 0,4 метров от внешнего края переднего или заднего габаритного огня, спереди и сзади обозначается днем сигнальными щитками или флажками размером 400ᵡ400 миллиметров с нанесенными по диагонали красными и белыми чередующимися полосами шириной 50 мм с обеих сторон щитка или флажка, а в темное время суток и в других условиях недостаточной видимости, светоотражающими приспособлениями с фонарями (спереди белого и сзади красного цвета). Таким же способом должны быть обозначены и все транспортные средства, габариты которых по длине и ширине превышают параметры.</w:t>
      </w:r>
    </w:p>
    <w:p>
      <w:pPr>
        <w:spacing w:after="60"/>
        <w:ind w:firstLine="567"/>
        <w:jc w:val="both"/>
      </w:pPr>
      <w:r>
        <w:rPr>
          <w:rFonts w:ascii="Arial" w:cs="Arial" w:eastAsia="Arial" w:hAnsi="Arial"/>
          <w:sz w:val="24"/>
          <w:szCs w:val="24"/>
        </w:rPr>
        <w:t xml:space="preserve">37. При перевозке грузов, возвышающихся над проезжей частью на 4,5 метра и более на автомобиле прикрытия, движущимся впереди транспортного средства с грузом устанавливаются одна или две габаритные штанги с сигнальной лампочкой желтого цвета на конце, зажигаемой в темное время суток или в условиях недостаточной видимости. Высота установки лампочки должна на 5-10 сантиметров превышать верхнюю точку габарита перевозимого груза и быть в поле зрения водителя основного тягача.</w:t>
      </w:r>
    </w:p>
    <w:p>
      <w:pPr>
        <w:spacing w:after="60"/>
        <w:ind w:firstLine="567"/>
        <w:jc w:val="both"/>
      </w:pPr>
      <w:r>
        <w:rPr>
          <w:rFonts w:ascii="Arial" w:cs="Arial" w:eastAsia="Arial" w:hAnsi="Arial"/>
          <w:sz w:val="24"/>
          <w:szCs w:val="24"/>
        </w:rPr>
        <w:t xml:space="preserve">38. При длине автопоезда свыше 20 метров на заднем борту или специальном щитке, укрепленном в конце транспортного средства, устанавливается табличка с указанием фактической длины состава.</w:t>
      </w:r>
    </w:p>
    <w:p>
      <w:pPr>
        <w:spacing w:after="60"/>
        <w:ind w:firstLine="567"/>
        <w:jc w:val="both"/>
      </w:pPr>
      <w:r>
        <w:rPr>
          <w:rFonts w:ascii="Arial" w:cs="Arial" w:eastAsia="Arial" w:hAnsi="Arial"/>
          <w:sz w:val="24"/>
          <w:szCs w:val="24"/>
        </w:rPr>
        <w:t xml:space="preserve">39. Для осуществления перевозки, кроме автомобилей прикрытия, тягача и толкача, дополнительно выделяются специальные транспортные средства (автовышки, слесарные мастерские, автокраны и т.д.), необходимые для технического обеспечения перевозки. Особое требование к передвижению сельскохозяйственной техники: по всем категориям автомобильных дорог сельскохозяйственная техника, имеющая габариты свыше 2,5 метров шириной, согласно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может передвигаться с разрешения уполномоченного государственного органа в сфере обеспечения безопасности дорожного движения только в дневное время суток обязательно оборудованная светящимися и мигающими габаритными сигналами.</w:t>
      </w:r>
    </w:p>
    <w:p>
      <w:pPr>
        <w:spacing w:after="200" w:before="200"/>
        <w:jc w:val="center"/>
      </w:pPr>
      <w:r>
        <w:rPr>
          <w:rFonts w:ascii="Arial" w:cs="Arial" w:eastAsia="Arial" w:hAnsi="Arial"/>
          <w:b/>
          <w:bCs/>
          <w:sz w:val="24"/>
          <w:szCs w:val="24"/>
        </w:rPr>
        <w:t xml:space="preserve">6. Особенности проезда тяжеловесных средств по мостам, путепроводам и другим искусственным сооружениям</w:t>
      </w:r>
    </w:p>
    <w:p>
      <w:pPr>
        <w:spacing w:after="60"/>
        <w:ind w:firstLine="567"/>
        <w:jc w:val="both"/>
      </w:pPr>
      <w:r>
        <w:rPr>
          <w:rFonts w:ascii="Arial" w:cs="Arial" w:eastAsia="Arial" w:hAnsi="Arial"/>
          <w:sz w:val="24"/>
          <w:szCs w:val="24"/>
        </w:rPr>
        <w:t xml:space="preserve">40. Порядок проезда транспортных средств, перевозящих тяжеловесные грузы по мостам, путепроводам и другим искусственным сооружениям, определяется дорожно-эксплуатационными или коммунальными организациями в соответствии с требованиями настоящих Правил.</w:t>
      </w:r>
    </w:p>
    <w:p>
      <w:pPr>
        <w:spacing w:after="60"/>
        <w:ind w:firstLine="567"/>
        <w:jc w:val="both"/>
      </w:pPr>
      <w:r>
        <w:rPr>
          <w:rFonts w:ascii="Arial" w:cs="Arial" w:eastAsia="Arial" w:hAnsi="Arial"/>
          <w:sz w:val="24"/>
          <w:szCs w:val="24"/>
        </w:rPr>
        <w:t xml:space="preserve">41. Если фактический вес транспортного средства превышает параметры нормативной нагрузки, указанные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 но не превышает значений, приведенных в таблице 2 </w:t>
      </w:r>
      <w:r>
        <w:rPr>
          <w:rFonts w:ascii="Arial" w:cs="Arial" w:eastAsia="Arial" w:hAnsi="Arial"/>
          <w:sz w:val="24"/>
          <w:szCs w:val="24"/>
        </w:rPr>
        <w:t xml:space="preserve">приложения 2</w:t>
      </w:r>
      <w:r>
        <w:rPr>
          <w:rFonts w:ascii="Arial" w:cs="Arial" w:eastAsia="Arial" w:hAnsi="Arial"/>
          <w:sz w:val="24"/>
          <w:szCs w:val="24"/>
        </w:rPr>
        <w:t xml:space="preserve"> к настоящим Правилам, то транспортное средство при условии соответствующих согласований может быть пропущено с соблюдением следующих условий:</w:t>
      </w:r>
    </w:p>
    <w:p>
      <w:pPr>
        <w:spacing w:after="60"/>
        <w:ind w:firstLine="567"/>
        <w:jc w:val="both"/>
      </w:pPr>
      <w:r>
        <w:rPr>
          <w:rFonts w:ascii="Arial" w:cs="Arial" w:eastAsia="Arial" w:hAnsi="Arial"/>
          <w:sz w:val="24"/>
          <w:szCs w:val="24"/>
        </w:rPr>
        <w:t xml:space="preserve">- при движении через искусственное сооружение на нем не должны находиться другие транспортные средства;</w:t>
      </w:r>
    </w:p>
    <w:p>
      <w:pPr>
        <w:spacing w:after="60"/>
        <w:ind w:firstLine="567"/>
        <w:jc w:val="both"/>
      </w:pPr>
      <w:r>
        <w:rPr>
          <w:rFonts w:ascii="Arial" w:cs="Arial" w:eastAsia="Arial" w:hAnsi="Arial"/>
          <w:sz w:val="24"/>
          <w:szCs w:val="24"/>
        </w:rPr>
        <w:t xml:space="preserve">- движение груженного транспортного средства должно осуществляться по оси проезжей части со скоростью не более 10 км/час.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перевозки крупногабаритных и тяжеловесных грузов автомобильным транспортом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перевозки крупногабаритных и тяжеловесных грузов автомобильным транспортом</w:t>
      </w:r>
    </w:p>
    <w:p>
      <w:pPr>
        <w:spacing w:after="200" w:before="200"/>
        <w:ind w:firstLine="567"/>
        <w:jc w:val="both"/>
      </w:pPr>
      <w:r>
        <w:rPr>
          <w:rFonts w:ascii="Arial" w:cs="Arial" w:eastAsia="Arial" w:hAnsi="Arial"/>
          <w:b/>
          <w:bCs/>
          <w:sz w:val="24"/>
          <w:szCs w:val="24"/>
        </w:rPr>
        <w:t xml:space="preserve">Таблица 1. Параметры нормативной нагрузки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3398"/>
        <w:gridCol w:w="3398"/>
      </w:tblGrid>
      <w:tr>
        <w:tc>
          <w:tcPr>
            <w:tcW w:type="dxa" w:w="3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Расчетные схемы нагрузок на мост</w:t>
            </w:r>
          </w:p>
        </w:tc>
        <w:tc>
          <w:tcPr>
            <w:tcW w:type="dxa" w:w="67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Нормативная нагрузка</w:t>
            </w:r>
          </w:p>
        </w:tc>
      </w:tr>
      <w:tr>
        <w:tc>
          <w:tcPr>
            <w:vMerge w:val="continue"/>
            <w:tcBorders>
              <w:top w:val="single" w:color="CBBF9E" w:sz="4"/>
              <w:left w:val="single" w:color="CBBF9E" w:sz="4"/>
              <w:bottom w:val="single" w:color="CBBF9E" w:sz="4"/>
              <w:right w:val="single" w:color="CBBF9E" w:sz="4"/>
            </w:tcBorders>
          </w:tcP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фактический вес т.с.</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база, метров</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8 и НГ-30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10,5</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Н10 и НГ-60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13,0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13 и НГ-60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17,0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18 и НК-80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30 и НК-80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3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Если фактический общий вес транспортного средства превышает параметры, приведенные в таблице 2, то для получения разрешения на движение (в случае невозможности объезда по другому маршруту, транспортировки другим видом транспорта, разделения груза) перевозчик осуществляющий перевозку, должен подать заявку в соответствующее управление автомобильной и железной дороги не позднее чем за три месяца. В заявке должны быть приведены данные в соответствии с пунктом 2.5. настоящих Правил.</w:t>
      </w:r>
    </w:p>
    <w:p>
      <w:pPr>
        <w:spacing w:after="200" w:before="200"/>
        <w:ind w:firstLine="567"/>
        <w:jc w:val="both"/>
      </w:pPr>
      <w:r>
        <w:rPr>
          <w:rFonts w:ascii="Arial" w:cs="Arial" w:eastAsia="Arial" w:hAnsi="Arial"/>
          <w:b/>
          <w:bCs/>
          <w:sz w:val="24"/>
          <w:szCs w:val="24"/>
        </w:rPr>
        <w:t xml:space="preserve">Таблица 2. Параметры сверхнормативной нагрузки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9"/>
        <w:gridCol w:w="2146"/>
        <w:gridCol w:w="2146"/>
        <w:gridCol w:w="2146"/>
      </w:tblGrid>
      <w:tr>
        <w:tc>
          <w:tcPr>
            <w:tcW w:type="dxa" w:w="37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Расчетные схемы нагрузок на мост</w:t>
            </w:r>
          </w:p>
        </w:tc>
        <w:tc>
          <w:tcPr>
            <w:tcW w:type="dxa" w:w="64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сверхнормативная нагрузка</w:t>
            </w:r>
          </w:p>
        </w:tc>
      </w:tr>
      <w:tr>
        <w:tc>
          <w:tcPr>
            <w:vMerge w:val="continue"/>
            <w:tcBorders>
              <w:top w:val="single" w:color="CBBF9E" w:sz="4"/>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фактический вес т.с.</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осевой вес, т.с.</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база, метров</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8 и НГ-30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7,6</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10 и НГ-60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---››--- 9,5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13 и НГ-60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---››--- 16,5</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18 и НК-80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---››--- 20,0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30 и НК-80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---››--- 20,0</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Управление автомобильной и железной дороги не позднее двух недель со дня получения заявки сообщают о возможности движения через данное искусственное сооружение.</w:t>
      </w:r>
    </w:p>
    <w:p>
      <w:pPr>
        <w:spacing w:after="60"/>
        <w:ind w:firstLine="567"/>
        <w:jc w:val="both"/>
      </w:pPr>
      <w:r>
        <w:rPr>
          <w:rFonts w:ascii="Arial" w:cs="Arial" w:eastAsia="Arial" w:hAnsi="Arial"/>
          <w:sz w:val="24"/>
          <w:szCs w:val="24"/>
        </w:rPr>
        <w:t xml:space="preserve">Для безопасного проезда транспортного средства со сверхнормативной нагрузкой через искусственное сооружение должно быть обеспечено его плановое безостановочное движение строго по оси сооружения (или вдоль специальной линии, наносимой предварительно по указанию дорожно-эксплуатационной организации) со скоростью не более 10 км/час. Движение транспортного средства по путепроводу или судоходному пролету моста должно осуществляться только в перерывах движения под ним по согласованию с организацией, эксплуатирующей проезд под путепроводом или мостом. В момент пропуска транспортного средства со сверхнормативной нагрузкой по искусственному сооружению должно быть запрещено движение других транспортных средств и пешеходов. В случае вынужденной остановки необходимо принять срочные меры к удалению транспортного средства с искусственного сооружения.</w:t>
      </w:r>
    </w:p>
    <w:p>
      <w:pPr>
        <w:spacing w:after="60"/>
        <w:ind w:firstLine="567"/>
        <w:jc w:val="both"/>
      </w:pPr>
      <w:r>
        <w:rPr>
          <w:rFonts w:ascii="Arial" w:cs="Arial" w:eastAsia="Arial" w:hAnsi="Arial"/>
          <w:sz w:val="24"/>
          <w:szCs w:val="24"/>
        </w:rPr>
        <w:t xml:space="preserve">При наличии у транспортного средства задней управляемой поворотной тележки должна быть обеспечена надежная радио или телефонная связь между оператором этой тележки и водителем тягача.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wgucmhittnaoashrkoq" Type="http://schemas.openxmlformats.org/officeDocument/2006/relationships/hyperlink" Target="http://kodeks.duckdns.org/document/158882" TargetMode="External"/><Relationship Id="rIdctobp6ocolg5geacv31j7" Type="http://schemas.openxmlformats.org/officeDocument/2006/relationships/hyperlink" Target="http://kodeks.duckdns.org/document/230038385" TargetMode="External"/><Relationship Id="rIdfnhqcqzizy_g9d_seenls" Type="http://schemas.openxmlformats.org/officeDocument/2006/relationships/hyperlink" Target="http://kodeks.duckdns.org/document/230040985" TargetMode="External"/><Relationship Id="rIdsktdy15euy9ifmw4346ou" Type="http://schemas.openxmlformats.org/officeDocument/2006/relationships/hyperlink" Target="http://kodeks.duckdns.org/document/203963" TargetMode="External"/><Relationship Id="rIdxwkvsrlkdvsozxra9hdrl" Type="http://schemas.openxmlformats.org/officeDocument/2006/relationships/hyperlink" Target="http://kodeks.duckdns.org/document/203685" TargetMode="External"/><Relationship Id="rId4yc3rru3hz0mgkwhqbbhu" Type="http://schemas.openxmlformats.org/officeDocument/2006/relationships/hyperlink" Target="http://kodeks.duckdns.org/document/98765#p1" TargetMode="External"/><Relationship Id="rIdvbw_8f-akbzekcwkuawlw" Type="http://schemas.openxmlformats.org/officeDocument/2006/relationships/hyperlink" Target="http://kodeks.duckdns.org/document/158882" TargetMode="External"/><Relationship Id="rIdulsly5dqi7stq6qm5l5uf" Type="http://schemas.openxmlformats.org/officeDocument/2006/relationships/hyperlink" Target="http://kodeks.duckdns.org/document/230038385" TargetMode="External"/><Relationship Id="rIdmzecbmcbfysqokkbb1lkg" Type="http://schemas.openxmlformats.org/officeDocument/2006/relationships/hyperlink" Target="http://kodeks.duckdns.org/document/230040985" TargetMode="External"/><Relationship Id="rId8ray9c8uetbgv9zw6b1ke" Type="http://schemas.openxmlformats.org/officeDocument/2006/relationships/hyperlink" Target="http://kodeks.duckdns.org/document/158882" TargetMode="External"/><Relationship Id="rIdzaon0dzciuuialyrtg3ne" Type="http://schemas.openxmlformats.org/officeDocument/2006/relationships/hyperlink" Target="http://kodeks.duckdns.org/document/230038385" TargetMode="External"/><Relationship Id="rId_zmih2ifl1oec2owvlgvp" Type="http://schemas.openxmlformats.org/officeDocument/2006/relationships/hyperlink" Target="http://kodeks.duckdns.org/document/230040985" TargetMode="External"/><Relationship Id="rIdmlplsyarccmeflnzro4pp" Type="http://schemas.openxmlformats.org/officeDocument/2006/relationships/hyperlink" Target="http://kodeks.duckdns.org/document/158882" TargetMode="External"/><Relationship Id="rIdgdwvyxs5yxu0rrqhsykqx" Type="http://schemas.openxmlformats.org/officeDocument/2006/relationships/hyperlink" Target="http://kodeks.duckdns.org/document/230040985" TargetMode="External"/><Relationship Id="rId7xq0hteot_yiekz3xj-lm" Type="http://schemas.openxmlformats.org/officeDocument/2006/relationships/hyperlink" Target="http://kodeks.duckdns.org/document/230040985" TargetMode="External"/><Relationship Id="rId8oyl6_gdl2x-8r5zmjrzc" Type="http://schemas.openxmlformats.org/officeDocument/2006/relationships/hyperlink" Target="http://kodeks.duckdns.org/document/158882" TargetMode="External"/><Relationship Id="rIdrsudbcp6wevrlr4ydeljy" Type="http://schemas.openxmlformats.org/officeDocument/2006/relationships/hyperlink" Target="http://kodeks.duckdns.org/document/158882" TargetMode="External"/><Relationship Id="rIdo6ukzp_4bnuj0mh0n3g28" Type="http://schemas.openxmlformats.org/officeDocument/2006/relationships/hyperlink" Target="http://kodeks.duckdns.org/document/158882" TargetMode="External"/><Relationship Id="rIdwo8deqjop38slab5k-x9x" Type="http://schemas.openxmlformats.org/officeDocument/2006/relationships/hyperlink" Target="http://kodeks.duckdns.org/document/230038385"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2026-09-23T01:23:12.208Z</dcterms:created>
  <dcterms:modified xsi:type="dcterms:W3CDTF">2026-09-23T01:23:12.208Z</dcterms:modified>
</cp:coreProperties>
</file>

<file path=docProps/custom.xml><?xml version="1.0" encoding="utf-8"?>
<Properties xmlns="http://schemas.openxmlformats.org/officeDocument/2006/custom-properties" xmlns:vt="http://schemas.openxmlformats.org/officeDocument/2006/docPropsVTypes"/>
</file>