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2014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требованиях, предъявляемых к обустройству территории свободных экономических зон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j2stxjs-hjypfk_wih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huw519uco62bdwmwt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2017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3bjc4slvuhk1n-imgi_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обустройства территории свободных экономических зон Кыргызской Республики, в соответствии 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asgixcpydhsow4p23r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fy9g-4w4j9nfv4i20u_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2w7qga0oc0ljgdhhxzm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требованиях, предъявляемых к обустройству территории свободных экономических зон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snfffrgxkblwabksoh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ux_xiq-xdjrlwzm7g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2017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pg-zlyvvku0x1jtfrn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требования к ограждению, обустройству и оборудованию территории свободных экономических зон Кыргызской Республики (далее - СЭЗ) и территории месторасположения субъектов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СЭЗ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зарегистрированное (перерегистрированное) уполномоченным государственным органом и прошедшее учетную регистрацию в генеральной дирекции СЭЗ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территория месторасположения субъектов СЭЗ</w:t>
      </w:r>
      <w:r>
        <w:rPr>
          <w:rFonts w:ascii="Arial" w:cs="Arial" w:eastAsia="Arial" w:hAnsi="Arial"/>
          <w:sz w:val="24"/>
          <w:szCs w:val="24"/>
        </w:rPr>
        <w:t xml:space="preserve"> - территория месторасположения производственных помещений и складов субъектов СЭЗ в СЭЗ, созданных с целью ускоренного развития регионов, территории которых расположены в установленных границах административно-территориальных единиц, где 50 и более процентов населенных пунктов определены законодательством Кыргызской Республики как населенные пункты, расположенные в высокогорных и/или отдаленных зонах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территории СЭЗ или территории месторасположения субъектов СЭЗ, подлежащей таможенному контролю, на которой применяется таможенная процедура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yuhy7paagun6pnerlx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2017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Граница территории СЭЗ, подлежащей обустройству и ограждению в целях осуществления таможенного контроля, на которой применяется таможенная процедура свободной таможенной зоны, определяется генеральной дирекцией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g7fimywulngukr5ckk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2017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Территория СЭЗ или территория месторасположения субъектов СЭЗ должны быть ограждены, обустроены и оснащены системой видеонаблюдения таким образом,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сохранность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исключить доступ посторонних лиц, не обладающих полномочиями в отношении товаров либо не являющихся представителями лиц, обладающих такими полномочиями, кроме территории или месторасположения субъектов СЭЗ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возможность проведения в отношении товаров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соответствовать требованиям пожарной безопасности, санитарно-эпидемиологическим и техническим нормам, установленным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2vp_ysnzheytkb-ram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Соответствие ограждения или иных условий для осуществления таможенного контроля товаров субъектов СЭЗ подтверждается актом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несоблюдения условий, предусмотренных пунктом 4 настоящего Положения, к субъектам СЭЗ применяется общий налоговый режим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Обустройство и ограждение территорий СЭЗ обеспечивается генеральными дирекциями СЭЗ в соответствии с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ограждению, обустройству территории СЭЗ и территории месторасположения субъектов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Территория СЭЗ или территория месторасположения субъектов СЭЗ должны быть охраняемы, обозначены и ограждены, иметь дорожное покрытие для обеспечения безопасного передвижения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qxiphgacz3zocznsjr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2017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Ограждение территории СЭЗ должно представлять собой непрерывную конструкцию из железобетона, бетона, кирпича, металлоконструкций либо из комбинаций данных материалов, колючей проволоки на металлических или бетонных столбах, а для субъектов СЭЗ в сфере туризма может состоять из иных материалов, согласованных с уполномоченным государственным органом в сфере таможенного дела, и быть высотой не менее 2,2 метра, за исключением ограждения помещений субъектов СЭЗ, расположенных внутри огражденной территории СЭЗ, обеспечивающих сохранность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месторасположения субъектов СЭЗ должна быть ограждена по всему периметру месторасположения ограждением, представляющим собой непрерывную конструкцию из железобетона, бетона, кирпича, металлоконструкций либо из комбинаций данных материалов, а для субъектов СЭЗ в сфере туризма может состоять из иных материалов, согласованных с уполномоченным государственным органом в сфере таможенного дела, и быть высотой не менее 2,2 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arleesr-ac85yinyrd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обустройству территории СЭЗ и территории месторасположения субъектов СЭЗ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служебных помещений для сотрудников таможенных органов, производящих таможенные операции, связанные с помещением товаров под таможенную процедуру, и таможенный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обустроенной площадки, эстакады (или досмотровые ямы) для проведения таможенного досмотра товаров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охраны территории для обеспечения сохранности товаров субъектов СЭЗ и транспортных средств, перевозящих товары, на время, необходимое для завершения таможенной операции перевозки товаров с применением автоматизированной системы доставки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системы видеонаблюдения;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на территории СЭЗ и территории месторасположения субъектов СЭЗ или вблизи от места их расположения санитарно-бытовых удобств (туалет, душевая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утвержденного плана взаимодействия, оперативного плана пожаротушения между СЭЗ и уполномоченным государственным органом в области пожарной безопасности по тушению возможных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x56yhupmzpcccai1nq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Товары субъектов СЭЗ, требующие особых условий хранения, должны храниться на территории СЭЗ или территории месторасположения субъектов СЭЗ в специально обустроенных для этого складах, при необходимости - с наличием холодильного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фасаде ограждения (возле входных ворот или на контрольно-пропускных пунктах) должны быть вывешены знаки установленной формы, обозначающие зону таможенного контроля, на государственном, официальном и иностранном языках, в соответствии с Порядком создания и обозначения зон таможенного контроля,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ndexkuh-27qhvaldb3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Территория, здания сооружения и помещения СЭЗ должны соответствовать требованиям законодательства Кыргызской Республики в области пожарной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техническому оснащению территории СЭЗ и территорий месторасположения субъектов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техническому оснащению территории СЭЗ и территории месторасположения субъектов СЭЗ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телефонной и факсимильной связи, оргтехники и множительной техники, компьютеров, с доступом к глобальной сети Интернет, наличие локальной сети в служебных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погрузочно-разгрузочной техники (автопогрузчики, электропогрузчики и электрокары, механические тележки, краны, тельферы, подъемники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генератора для выработки электрического тока на случай необходимости обеспечения бесперебойного электроснабжения;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запорных устройств на воротах, помещениях, емкостях и других местах нахождения товаров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весов для производства весового контроля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информационного стенда, отражающего сведения о деятельности свободной экономической зоны и порядке ее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Контрольно-пропускные пункты территории СЭЗ должны быть оборудованы: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площадкой с обзорной ямой;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эстакадой.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moy3x-amszsm-_gwn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dalil.kg/document/98773</w:t>
      </w:r>
    </w:hyperlink>
  </w:p>
  <w:p>
    <w:pPr>
      <w:spacing w:after="0" w:before="40"/>
      <w:jc w:val="center"/>
    </w:pPr>
    <w:hyperlink w:history="1" r:id="rIdxrczbvlmxkz5aq4zji1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2stxjs-hjypfk_wih3l" Type="http://schemas.openxmlformats.org/officeDocument/2006/relationships/hyperlink" Target="https://dalil.kg/document/98338" TargetMode="External"/><Relationship Id="rIdybhuw519uco62bdwmwtyu" Type="http://schemas.openxmlformats.org/officeDocument/2006/relationships/hyperlink" Target="https://dalil.kg/document/98772" TargetMode="External"/><Relationship Id="rId3bjc4slvuhk1n-imgi_tc" Type="http://schemas.openxmlformats.org/officeDocument/2006/relationships/hyperlink" Target="https://dalil.kg/document/230044054" TargetMode="External"/><Relationship Id="rIdmasgixcpydhsow4p23rfc" Type="http://schemas.openxmlformats.org/officeDocument/2006/relationships/hyperlink" Target="https://dalil.kg/document/203685" TargetMode="External"/><Relationship Id="rIdfy9g-4w4j9nfv4i20u_ws" Type="http://schemas.openxmlformats.org/officeDocument/2006/relationships/hyperlink" Target="https://dalil.kg/document/98338" TargetMode="External"/><Relationship Id="rId2w7qga0oc0ljgdhhxzmlk" Type="http://schemas.openxmlformats.org/officeDocument/2006/relationships/hyperlink" Target="https://dalil.kg/document/98773#p1" TargetMode="External"/><Relationship Id="rIddsnfffrgxkblwabksoh4n" Type="http://schemas.openxmlformats.org/officeDocument/2006/relationships/hyperlink" Target="https://dalil.kg/document/98338" TargetMode="External"/><Relationship Id="rIdofux_xiq-xdjrlwzm7gty" Type="http://schemas.openxmlformats.org/officeDocument/2006/relationships/hyperlink" Target="https://dalil.kg/document/98772" TargetMode="External"/><Relationship Id="rIdcpg-zlyvvku0x1jtfrnnf" Type="http://schemas.openxmlformats.org/officeDocument/2006/relationships/hyperlink" Target="https://dalil.kg/document/230044054" TargetMode="External"/><Relationship Id="rIdwyuhy7paagun6pnerlx4f" Type="http://schemas.openxmlformats.org/officeDocument/2006/relationships/hyperlink" Target="https://dalil.kg/document/98772" TargetMode="External"/><Relationship Id="rId8g7fimywulngukr5ckknp" Type="http://schemas.openxmlformats.org/officeDocument/2006/relationships/hyperlink" Target="https://dalil.kg/document/98772" TargetMode="External"/><Relationship Id="rIdq2vp_ysnzheytkb-ramkj" Type="http://schemas.openxmlformats.org/officeDocument/2006/relationships/hyperlink" Target="https://dalil.kg/document/230044054" TargetMode="External"/><Relationship Id="rIdwqxiphgacz3zocznsjrqa" Type="http://schemas.openxmlformats.org/officeDocument/2006/relationships/hyperlink" Target="https://dalil.kg/document/98772" TargetMode="External"/><Relationship Id="rId0arleesr-ac85yinyrdoq" Type="http://schemas.openxmlformats.org/officeDocument/2006/relationships/hyperlink" Target="https://dalil.kg/document/230044054" TargetMode="External"/><Relationship Id="rIdzx56yhupmzpcccai1nqzt" Type="http://schemas.openxmlformats.org/officeDocument/2006/relationships/hyperlink" Target="https://dalil.kg/document/98338" TargetMode="External"/><Relationship Id="rIdwndexkuh-27qhvaldb3ws" Type="http://schemas.openxmlformats.org/officeDocument/2006/relationships/hyperlink" Target="https://dalil.kg/document/983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moy3x-amszsm-_gwnza" Type="http://schemas.openxmlformats.org/officeDocument/2006/relationships/hyperlink" Target="https://dalil.kg/document/98773" TargetMode="External"/><Relationship Id="rIdxrczbvlmxkz5aq4zji1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2026-09-24T00:42:12.500Z</dcterms:created>
  <dcterms:modified xsi:type="dcterms:W3CDTF">2026-09-24T00:42:12.500Z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